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ayout w:type="fixed"/>
        <w:tblCellMar>
          <w:left w:w="0" w:type="dxa"/>
          <w:right w:w="0" w:type="dxa"/>
        </w:tblCellMar>
        <w:tblLook w:val="0000" w:firstRow="0" w:lastRow="0" w:firstColumn="0" w:lastColumn="0" w:noHBand="0" w:noVBand="0"/>
      </w:tblPr>
      <w:tblGrid>
        <w:gridCol w:w="2381"/>
        <w:gridCol w:w="7087"/>
      </w:tblGrid>
      <w:tr w:rsidR="006942DC" w14:paraId="6C41A040" w14:textId="77777777" w:rsidTr="00F068EA">
        <w:trPr>
          <w:trHeight w:val="1440"/>
        </w:trPr>
        <w:tc>
          <w:tcPr>
            <w:tcW w:w="2381" w:type="dxa"/>
            <w:tcBorders>
              <w:top w:val="nil"/>
              <w:left w:val="nil"/>
              <w:bottom w:val="nil"/>
              <w:right w:val="nil"/>
            </w:tcBorders>
          </w:tcPr>
          <w:p w14:paraId="30CC9A7E" w14:textId="24FC0247" w:rsidR="006942DC" w:rsidRDefault="00A53B73" w:rsidP="00F068EA">
            <w:pPr>
              <w:pStyle w:val="ZCom"/>
            </w:pPr>
            <w:r>
              <w:rPr>
                <w:noProof/>
              </w:rPr>
              <w:pict w14:anchorId="32ADA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7301121" o:spid="_x0000_i1025" type="#_x0000_t75" style="width:108pt;height:51pt;visibility:visible">
                  <v:imagedata r:id="rId11" o:title=""/>
                  <o:lock v:ext="edit" aspectratio="f"/>
                </v:shape>
              </w:pict>
            </w:r>
          </w:p>
        </w:tc>
        <w:tc>
          <w:tcPr>
            <w:tcW w:w="7087" w:type="dxa"/>
            <w:tcBorders>
              <w:top w:val="nil"/>
              <w:left w:val="nil"/>
              <w:bottom w:val="nil"/>
              <w:right w:val="nil"/>
            </w:tcBorders>
          </w:tcPr>
          <w:p w14:paraId="344F93FD" w14:textId="77777777" w:rsidR="006942DC" w:rsidRDefault="006942DC" w:rsidP="00F068EA">
            <w:pPr>
              <w:pStyle w:val="ZCom"/>
              <w:spacing w:before="90"/>
            </w:pPr>
            <w:r>
              <w:t>EUROPEAN COMMISSION</w:t>
            </w:r>
          </w:p>
          <w:p w14:paraId="6BED1DEF" w14:textId="77777777" w:rsidR="006942DC" w:rsidRDefault="006942DC" w:rsidP="00F068EA">
            <w:pPr>
              <w:pStyle w:val="ZDGName"/>
            </w:pPr>
            <w:r>
              <w:t>DIRECTORATE-GENERAL</w:t>
            </w:r>
          </w:p>
          <w:p w14:paraId="02A24F8A" w14:textId="77777777" w:rsidR="006942DC" w:rsidRDefault="006942DC" w:rsidP="00F068EA">
            <w:pPr>
              <w:pStyle w:val="ZDGName"/>
            </w:pPr>
            <w:r>
              <w:t>CLIMATE ACTION</w:t>
            </w:r>
          </w:p>
          <w:p w14:paraId="27D22266" w14:textId="77777777" w:rsidR="006942DC" w:rsidRDefault="006942DC" w:rsidP="00F068EA">
            <w:pPr>
              <w:pStyle w:val="ZDGName"/>
            </w:pPr>
            <w:r>
              <w:t xml:space="preserve">Directorate </w:t>
            </w:r>
            <w:r w:rsidR="00553163">
              <w:t>A</w:t>
            </w:r>
            <w:r>
              <w:t xml:space="preserve"> - </w:t>
            </w:r>
            <w:r w:rsidR="00553163" w:rsidRPr="00553163">
              <w:t>Strategy, Analysis and Planning</w:t>
            </w:r>
          </w:p>
          <w:p w14:paraId="437E5E8D" w14:textId="77777777" w:rsidR="006942DC" w:rsidRDefault="006942DC" w:rsidP="00F068EA">
            <w:pPr>
              <w:pStyle w:val="ZDGName"/>
            </w:pPr>
            <w:r>
              <w:rPr>
                <w:b/>
                <w:bCs/>
              </w:rPr>
              <w:t>CLIMA.</w:t>
            </w:r>
            <w:r w:rsidR="00553163">
              <w:rPr>
                <w:b/>
                <w:bCs/>
              </w:rPr>
              <w:t>A</w:t>
            </w:r>
            <w:r>
              <w:rPr>
                <w:b/>
                <w:bCs/>
              </w:rPr>
              <w:t xml:space="preserve">.2 - </w:t>
            </w:r>
            <w:r w:rsidR="00553163" w:rsidRPr="00553163">
              <w:rPr>
                <w:b/>
                <w:bCs/>
              </w:rPr>
              <w:t>Foresight, Economic Analysis &amp; Modelling</w:t>
            </w:r>
          </w:p>
          <w:p w14:paraId="61FE1A3E" w14:textId="77777777" w:rsidR="006942DC" w:rsidRDefault="006942DC" w:rsidP="00F068EA">
            <w:pPr>
              <w:pStyle w:val="ZDGName"/>
            </w:pPr>
          </w:p>
        </w:tc>
      </w:tr>
    </w:tbl>
    <w:p w14:paraId="2CADAE63" w14:textId="77777777" w:rsidR="006942DC" w:rsidRDefault="006942DC" w:rsidP="00682A15">
      <w:pPr>
        <w:spacing w:after="120"/>
        <w:jc w:val="center"/>
        <w:rPr>
          <w:b/>
          <w:sz w:val="28"/>
          <w:szCs w:val="28"/>
        </w:rPr>
      </w:pPr>
    </w:p>
    <w:p w14:paraId="1E07DE9D" w14:textId="414A2F65" w:rsidR="007E60CD" w:rsidRPr="00A96377" w:rsidRDefault="00E1148D" w:rsidP="00682A15">
      <w:pPr>
        <w:spacing w:after="120"/>
        <w:jc w:val="center"/>
        <w:rPr>
          <w:b/>
          <w:sz w:val="28"/>
          <w:szCs w:val="28"/>
        </w:rPr>
      </w:pPr>
      <w:r>
        <w:rPr>
          <w:b/>
          <w:sz w:val="28"/>
          <w:szCs w:val="28"/>
        </w:rPr>
        <w:t>R</w:t>
      </w:r>
      <w:r w:rsidR="00F27F3A" w:rsidRPr="00A96377">
        <w:rPr>
          <w:b/>
          <w:sz w:val="28"/>
          <w:szCs w:val="28"/>
        </w:rPr>
        <w:t>ecommend</w:t>
      </w:r>
      <w:r w:rsidR="00E81BA3" w:rsidRPr="00A96377">
        <w:rPr>
          <w:b/>
          <w:sz w:val="28"/>
          <w:szCs w:val="28"/>
        </w:rPr>
        <w:t>ed</w:t>
      </w:r>
      <w:r w:rsidR="00F27F3A" w:rsidRPr="00A96377">
        <w:rPr>
          <w:b/>
          <w:sz w:val="28"/>
          <w:szCs w:val="28"/>
        </w:rPr>
        <w:t xml:space="preserve"> </w:t>
      </w:r>
      <w:r w:rsidR="007E60CD" w:rsidRPr="00A96377">
        <w:rPr>
          <w:b/>
          <w:sz w:val="28"/>
          <w:szCs w:val="28"/>
        </w:rPr>
        <w:t>parameters for repor</w:t>
      </w:r>
      <w:r w:rsidR="00682A15" w:rsidRPr="00A96377">
        <w:rPr>
          <w:b/>
          <w:sz w:val="28"/>
          <w:szCs w:val="28"/>
        </w:rPr>
        <w:t xml:space="preserve">ting on GHG projections in </w:t>
      </w:r>
      <w:r w:rsidR="00EE28F6" w:rsidRPr="00A96377">
        <w:rPr>
          <w:b/>
          <w:sz w:val="28"/>
          <w:szCs w:val="28"/>
        </w:rPr>
        <w:t>20</w:t>
      </w:r>
      <w:r w:rsidR="009E28B4">
        <w:rPr>
          <w:b/>
          <w:sz w:val="28"/>
          <w:szCs w:val="28"/>
        </w:rPr>
        <w:t>2</w:t>
      </w:r>
      <w:r w:rsidR="003E3212">
        <w:rPr>
          <w:b/>
          <w:sz w:val="28"/>
          <w:szCs w:val="28"/>
        </w:rPr>
        <w:t>5</w:t>
      </w:r>
    </w:p>
    <w:p w14:paraId="46AC0A74" w14:textId="77777777" w:rsidR="001353E2" w:rsidRDefault="001353E2" w:rsidP="00F27F3A">
      <w:pPr>
        <w:spacing w:after="120"/>
        <w:jc w:val="both"/>
        <w:rPr>
          <w:sz w:val="22"/>
          <w:szCs w:val="22"/>
          <w:u w:val="single"/>
        </w:rPr>
      </w:pPr>
    </w:p>
    <w:p w14:paraId="0989FCD4" w14:textId="77777777" w:rsidR="004E4542" w:rsidRPr="00DD0793" w:rsidRDefault="004E4542" w:rsidP="00F27F3A">
      <w:pPr>
        <w:spacing w:after="120"/>
        <w:jc w:val="both"/>
        <w:rPr>
          <w:sz w:val="22"/>
          <w:szCs w:val="22"/>
          <w:u w:val="single"/>
        </w:rPr>
      </w:pPr>
    </w:p>
    <w:p w14:paraId="5119E5C5" w14:textId="764E52B1" w:rsidR="00F27F3A" w:rsidRPr="00DD0793" w:rsidRDefault="5C9354F4" w:rsidP="00AC4210">
      <w:pPr>
        <w:numPr>
          <w:ilvl w:val="0"/>
          <w:numId w:val="22"/>
        </w:numPr>
        <w:spacing w:after="120"/>
        <w:jc w:val="both"/>
        <w:rPr>
          <w:sz w:val="22"/>
          <w:szCs w:val="22"/>
          <w:u w:val="single"/>
        </w:rPr>
      </w:pPr>
      <w:r w:rsidRPr="5408C415">
        <w:rPr>
          <w:sz w:val="22"/>
          <w:szCs w:val="22"/>
          <w:u w:val="single"/>
        </w:rPr>
        <w:t xml:space="preserve">Recommended </w:t>
      </w:r>
      <w:r w:rsidR="765338FB" w:rsidRPr="5408C415">
        <w:rPr>
          <w:sz w:val="22"/>
          <w:szCs w:val="22"/>
          <w:u w:val="single"/>
        </w:rPr>
        <w:t xml:space="preserve">harmonised values for key supra-nationally determined </w:t>
      </w:r>
      <w:r w:rsidR="220220B8" w:rsidRPr="5408C415">
        <w:rPr>
          <w:sz w:val="22"/>
          <w:szCs w:val="22"/>
          <w:u w:val="single"/>
        </w:rPr>
        <w:t>parameters.</w:t>
      </w:r>
    </w:p>
    <w:p w14:paraId="6990AA67" w14:textId="30C8599A" w:rsidR="00F1670D" w:rsidRDefault="5A2F0188" w:rsidP="006159C7">
      <w:pPr>
        <w:spacing w:after="120" w:line="300" w:lineRule="atLeast"/>
        <w:jc w:val="both"/>
        <w:rPr>
          <w:sz w:val="22"/>
          <w:szCs w:val="22"/>
        </w:rPr>
      </w:pPr>
      <w:r>
        <w:rPr>
          <w:sz w:val="22"/>
          <w:szCs w:val="22"/>
        </w:rPr>
        <w:t>Annex I</w:t>
      </w:r>
      <w:r w:rsidR="209623D5">
        <w:rPr>
          <w:sz w:val="22"/>
          <w:szCs w:val="22"/>
        </w:rPr>
        <w:t>, Part 2</w:t>
      </w:r>
      <w:r>
        <w:rPr>
          <w:sz w:val="22"/>
          <w:szCs w:val="22"/>
        </w:rPr>
        <w:t xml:space="preserve"> of the Regulation</w:t>
      </w:r>
      <w:r w:rsidR="78AAF549">
        <w:rPr>
          <w:sz w:val="22"/>
          <w:szCs w:val="22"/>
        </w:rPr>
        <w:t xml:space="preserve"> (EU) 2018/1999</w:t>
      </w:r>
      <w:r>
        <w:rPr>
          <w:sz w:val="22"/>
          <w:szCs w:val="22"/>
        </w:rPr>
        <w:t xml:space="preserve"> on the Governance of the Energy Union and Climate Action</w:t>
      </w:r>
      <w:r w:rsidR="4242AC6A">
        <w:rPr>
          <w:sz w:val="22"/>
          <w:szCs w:val="22"/>
        </w:rPr>
        <w:t xml:space="preserve"> </w:t>
      </w:r>
      <w:r w:rsidR="00C37090">
        <w:rPr>
          <w:sz w:val="22"/>
          <w:szCs w:val="22"/>
        </w:rPr>
        <w:t xml:space="preserve">(the Governance Regulation) </w:t>
      </w:r>
      <w:r w:rsidR="5BF698ED">
        <w:rPr>
          <w:sz w:val="22"/>
          <w:szCs w:val="22"/>
        </w:rPr>
        <w:t>calls on</w:t>
      </w:r>
      <w:r>
        <w:rPr>
          <w:sz w:val="22"/>
          <w:szCs w:val="22"/>
        </w:rPr>
        <w:t xml:space="preserve"> the Commission</w:t>
      </w:r>
      <w:r w:rsidR="5BF698ED">
        <w:rPr>
          <w:sz w:val="22"/>
          <w:szCs w:val="22"/>
        </w:rPr>
        <w:t xml:space="preserve"> to</w:t>
      </w:r>
      <w:r>
        <w:rPr>
          <w:sz w:val="22"/>
          <w:szCs w:val="22"/>
        </w:rPr>
        <w:t xml:space="preserve"> </w:t>
      </w:r>
      <w:r w:rsidR="209623D5" w:rsidRPr="009E28B4">
        <w:rPr>
          <w:sz w:val="22"/>
          <w:szCs w:val="22"/>
        </w:rPr>
        <w:t>provide recommendations for key parameters for projections</w:t>
      </w:r>
      <w:r w:rsidR="2D81D0CD" w:rsidRPr="00526B86">
        <w:rPr>
          <w:sz w:val="22"/>
          <w:szCs w:val="22"/>
        </w:rPr>
        <w:t xml:space="preserve"> </w:t>
      </w:r>
      <w:r w:rsidR="2D81D0CD">
        <w:rPr>
          <w:sz w:val="22"/>
          <w:szCs w:val="22"/>
        </w:rPr>
        <w:t xml:space="preserve">for the </w:t>
      </w:r>
      <w:r w:rsidR="78AAF549">
        <w:rPr>
          <w:sz w:val="22"/>
          <w:szCs w:val="22"/>
        </w:rPr>
        <w:t xml:space="preserve">integrated </w:t>
      </w:r>
      <w:r w:rsidR="2D81D0CD">
        <w:rPr>
          <w:sz w:val="22"/>
          <w:szCs w:val="22"/>
        </w:rPr>
        <w:t>national energy and climate plans</w:t>
      </w:r>
      <w:r w:rsidR="209623D5" w:rsidRPr="009E28B4">
        <w:rPr>
          <w:sz w:val="22"/>
          <w:szCs w:val="22"/>
        </w:rPr>
        <w:t xml:space="preserve">, at least covering oil, gas, and coal import prices as well as </w:t>
      </w:r>
      <w:r w:rsidR="78AAF549" w:rsidRPr="009E28B4">
        <w:rPr>
          <w:sz w:val="22"/>
          <w:szCs w:val="22"/>
        </w:rPr>
        <w:t xml:space="preserve">carbon prices </w:t>
      </w:r>
      <w:r w:rsidR="78AAF549">
        <w:rPr>
          <w:sz w:val="22"/>
          <w:szCs w:val="22"/>
        </w:rPr>
        <w:t xml:space="preserve">under the </w:t>
      </w:r>
      <w:r w:rsidR="209623D5" w:rsidRPr="009E28B4">
        <w:rPr>
          <w:sz w:val="22"/>
          <w:szCs w:val="22"/>
        </w:rPr>
        <w:t>EU</w:t>
      </w:r>
      <w:r w:rsidR="78AAF549">
        <w:rPr>
          <w:sz w:val="22"/>
          <w:szCs w:val="22"/>
        </w:rPr>
        <w:t xml:space="preserve"> Emission Trading System (EU</w:t>
      </w:r>
      <w:r w:rsidR="209623D5" w:rsidRPr="009E28B4">
        <w:rPr>
          <w:sz w:val="22"/>
          <w:szCs w:val="22"/>
        </w:rPr>
        <w:t xml:space="preserve"> ETS</w:t>
      </w:r>
      <w:r w:rsidR="78AAF549">
        <w:rPr>
          <w:sz w:val="22"/>
          <w:szCs w:val="22"/>
        </w:rPr>
        <w:t>)</w:t>
      </w:r>
      <w:r>
        <w:rPr>
          <w:sz w:val="22"/>
          <w:szCs w:val="22"/>
        </w:rPr>
        <w:t xml:space="preserve">. </w:t>
      </w:r>
      <w:r w:rsidR="28FB7223" w:rsidRPr="00705C42">
        <w:rPr>
          <w:sz w:val="22"/>
          <w:szCs w:val="22"/>
        </w:rPr>
        <w:t>Similarly, Article 38(3) of the Implementing Regulation</w:t>
      </w:r>
      <w:r w:rsidR="00705C42">
        <w:rPr>
          <w:rStyle w:val="FootnoteReference"/>
          <w:sz w:val="22"/>
          <w:szCs w:val="22"/>
        </w:rPr>
        <w:footnoteReference w:id="2"/>
      </w:r>
      <w:r w:rsidR="28FB7223" w:rsidRPr="00705C42">
        <w:rPr>
          <w:sz w:val="22"/>
          <w:szCs w:val="22"/>
        </w:rPr>
        <w:t xml:space="preserve"> states that</w:t>
      </w:r>
      <w:r w:rsidR="28FB7223">
        <w:rPr>
          <w:sz w:val="22"/>
          <w:szCs w:val="22"/>
        </w:rPr>
        <w:t xml:space="preserve"> </w:t>
      </w:r>
      <w:r w:rsidR="44AC45EA">
        <w:rPr>
          <w:sz w:val="22"/>
          <w:szCs w:val="22"/>
        </w:rPr>
        <w:t>i</w:t>
      </w:r>
      <w:r w:rsidR="6CAE624F" w:rsidRPr="00A81CE2">
        <w:rPr>
          <w:sz w:val="22"/>
          <w:szCs w:val="22"/>
        </w:rPr>
        <w:t>n</w:t>
      </w:r>
      <w:r w:rsidR="28FB7223">
        <w:rPr>
          <w:sz w:val="22"/>
          <w:szCs w:val="22"/>
        </w:rPr>
        <w:t xml:space="preserve"> reporting GHG projections, </w:t>
      </w:r>
      <w:r w:rsidR="6CAE624F" w:rsidRPr="00A81CE2">
        <w:rPr>
          <w:sz w:val="22"/>
          <w:szCs w:val="22"/>
        </w:rPr>
        <w:t xml:space="preserve">pursuant to Article 18(1) of </w:t>
      </w:r>
      <w:r w:rsidR="28FB7223">
        <w:rPr>
          <w:sz w:val="22"/>
          <w:szCs w:val="22"/>
        </w:rPr>
        <w:t>the Governance Regulation</w:t>
      </w:r>
      <w:r w:rsidR="00705C42">
        <w:rPr>
          <w:rStyle w:val="FootnoteReference"/>
          <w:sz w:val="22"/>
          <w:szCs w:val="22"/>
        </w:rPr>
        <w:footnoteReference w:id="3"/>
      </w:r>
      <w:r w:rsidR="6CAE624F" w:rsidRPr="00A81CE2">
        <w:rPr>
          <w:sz w:val="22"/>
          <w:szCs w:val="22"/>
        </w:rPr>
        <w:t>, Member States shall take into account the harmonised values for key parameters for projections – at least for oil, gas, and coal import prices as well as for carbon prices under the European Emission Trading System pursuant to Directive 2003/87/EC</w:t>
      </w:r>
      <w:r w:rsidR="765338FB" w:rsidRPr="00DD0793">
        <w:rPr>
          <w:sz w:val="22"/>
          <w:szCs w:val="22"/>
        </w:rPr>
        <w:t xml:space="preserve">. </w:t>
      </w:r>
    </w:p>
    <w:p w14:paraId="7335CB5A" w14:textId="7DE1DD93" w:rsidR="77FB90E9" w:rsidRDefault="77FB90E9" w:rsidP="5408C415">
      <w:pPr>
        <w:spacing w:after="120" w:line="300" w:lineRule="atLeast"/>
        <w:jc w:val="both"/>
        <w:rPr>
          <w:sz w:val="22"/>
          <w:szCs w:val="22"/>
        </w:rPr>
      </w:pPr>
      <w:r w:rsidRPr="5408C415">
        <w:rPr>
          <w:sz w:val="22"/>
          <w:szCs w:val="22"/>
        </w:rPr>
        <w:t xml:space="preserve">Article 2 </w:t>
      </w:r>
      <w:r w:rsidR="3436401E" w:rsidRPr="5408C415">
        <w:rPr>
          <w:sz w:val="22"/>
          <w:szCs w:val="22"/>
        </w:rPr>
        <w:t xml:space="preserve">of </w:t>
      </w:r>
      <w:r w:rsidR="4E202B96" w:rsidRPr="5408C415">
        <w:rPr>
          <w:sz w:val="22"/>
          <w:szCs w:val="22"/>
        </w:rPr>
        <w:t>the Governance Regulation</w:t>
      </w:r>
      <w:r w:rsidR="4D3D8164" w:rsidRPr="5408C415">
        <w:rPr>
          <w:sz w:val="22"/>
          <w:szCs w:val="22"/>
        </w:rPr>
        <w:t xml:space="preserve"> </w:t>
      </w:r>
      <w:r w:rsidR="7450A4E5" w:rsidRPr="5408C415">
        <w:rPr>
          <w:sz w:val="22"/>
          <w:szCs w:val="22"/>
        </w:rPr>
        <w:t xml:space="preserve">establishes that </w:t>
      </w:r>
      <w:r w:rsidR="6CFCDE8F" w:rsidRPr="5408C415">
        <w:rPr>
          <w:sz w:val="22"/>
          <w:szCs w:val="22"/>
        </w:rPr>
        <w:t xml:space="preserve">GHG </w:t>
      </w:r>
      <w:r w:rsidR="4692A12A" w:rsidRPr="5408C415">
        <w:rPr>
          <w:sz w:val="22"/>
          <w:szCs w:val="22"/>
        </w:rPr>
        <w:t>projections</w:t>
      </w:r>
      <w:r w:rsidR="3BB3FFDC" w:rsidRPr="5408C415">
        <w:rPr>
          <w:sz w:val="22"/>
          <w:szCs w:val="22"/>
        </w:rPr>
        <w:t xml:space="preserve"> should </w:t>
      </w:r>
      <w:r w:rsidR="4692A12A" w:rsidRPr="5408C415">
        <w:rPr>
          <w:sz w:val="22"/>
          <w:szCs w:val="22"/>
        </w:rPr>
        <w:t>includ</w:t>
      </w:r>
      <w:r w:rsidR="339867C1" w:rsidRPr="5408C415">
        <w:rPr>
          <w:sz w:val="22"/>
          <w:szCs w:val="22"/>
        </w:rPr>
        <w:t>e</w:t>
      </w:r>
      <w:r w:rsidR="4692A12A" w:rsidRPr="5408C415">
        <w:rPr>
          <w:sz w:val="22"/>
          <w:szCs w:val="22"/>
        </w:rPr>
        <w:t xml:space="preserve"> at least </w:t>
      </w:r>
      <w:r w:rsidR="63121FD8" w:rsidRPr="5408C415">
        <w:rPr>
          <w:sz w:val="22"/>
          <w:szCs w:val="22"/>
        </w:rPr>
        <w:t xml:space="preserve">the next </w:t>
      </w:r>
      <w:r w:rsidR="331F7E26" w:rsidRPr="5408C415">
        <w:rPr>
          <w:sz w:val="22"/>
          <w:szCs w:val="22"/>
        </w:rPr>
        <w:t xml:space="preserve">six </w:t>
      </w:r>
      <w:r w:rsidR="4692A12A" w:rsidRPr="5408C415">
        <w:rPr>
          <w:sz w:val="22"/>
          <w:szCs w:val="22"/>
        </w:rPr>
        <w:t>future years ending with 0 or 5 immediately following the reporting year</w:t>
      </w:r>
      <w:r w:rsidR="00C37090">
        <w:rPr>
          <w:sz w:val="22"/>
          <w:szCs w:val="22"/>
        </w:rPr>
        <w:t xml:space="preserve"> (2025 in this exercise)</w:t>
      </w:r>
      <w:r w:rsidR="2799694C" w:rsidRPr="5408C415">
        <w:rPr>
          <w:sz w:val="22"/>
          <w:szCs w:val="22"/>
        </w:rPr>
        <w:t>.</w:t>
      </w:r>
      <w:r w:rsidR="3F2A2AB2" w:rsidRPr="5408C415">
        <w:rPr>
          <w:sz w:val="22"/>
          <w:szCs w:val="22"/>
        </w:rPr>
        <w:t xml:space="preserve"> Consequently, </w:t>
      </w:r>
      <w:r w:rsidR="00C37090">
        <w:rPr>
          <w:sz w:val="22"/>
          <w:szCs w:val="22"/>
        </w:rPr>
        <w:t xml:space="preserve">the </w:t>
      </w:r>
      <w:r w:rsidR="3F2A2AB2" w:rsidRPr="5408C415">
        <w:rPr>
          <w:sz w:val="22"/>
          <w:szCs w:val="22"/>
        </w:rPr>
        <w:t>recommended parameters are provided for the year 2025</w:t>
      </w:r>
      <w:r w:rsidR="00C37090">
        <w:rPr>
          <w:sz w:val="22"/>
          <w:szCs w:val="22"/>
        </w:rPr>
        <w:t xml:space="preserve"> and the following six years ending with 0 or 5:</w:t>
      </w:r>
      <w:r w:rsidR="3F2A2AB2" w:rsidRPr="5408C415">
        <w:rPr>
          <w:sz w:val="22"/>
          <w:szCs w:val="22"/>
        </w:rPr>
        <w:t xml:space="preserve"> 2030, 2035, 2040, 2045, 2050, and 2055. </w:t>
      </w:r>
    </w:p>
    <w:p w14:paraId="6DE62A93" w14:textId="5D7C8EF1" w:rsidR="00C50EDB" w:rsidRDefault="00F1670D" w:rsidP="006159C7">
      <w:pPr>
        <w:spacing w:after="120" w:line="300" w:lineRule="atLeast"/>
        <w:jc w:val="both"/>
        <w:rPr>
          <w:sz w:val="22"/>
          <w:szCs w:val="22"/>
        </w:rPr>
      </w:pPr>
      <w:r w:rsidRPr="41D7274E">
        <w:rPr>
          <w:sz w:val="22"/>
          <w:szCs w:val="22"/>
        </w:rPr>
        <w:t xml:space="preserve">Through </w:t>
      </w:r>
      <w:r w:rsidR="00924C9C" w:rsidRPr="41D7274E">
        <w:rPr>
          <w:sz w:val="22"/>
          <w:szCs w:val="22"/>
        </w:rPr>
        <w:t>this</w:t>
      </w:r>
      <w:r w:rsidRPr="41D7274E">
        <w:rPr>
          <w:sz w:val="22"/>
          <w:szCs w:val="22"/>
        </w:rPr>
        <w:t xml:space="preserve"> document, t</w:t>
      </w:r>
      <w:r w:rsidR="00F27F3A" w:rsidRPr="41D7274E">
        <w:rPr>
          <w:sz w:val="22"/>
          <w:szCs w:val="22"/>
        </w:rPr>
        <w:t xml:space="preserve">he Commission </w:t>
      </w:r>
      <w:r w:rsidR="000D6632" w:rsidRPr="41D7274E">
        <w:rPr>
          <w:sz w:val="22"/>
          <w:szCs w:val="22"/>
        </w:rPr>
        <w:t xml:space="preserve">puts forward </w:t>
      </w:r>
      <w:r w:rsidR="00705C42" w:rsidRPr="41D7274E">
        <w:rPr>
          <w:sz w:val="22"/>
          <w:szCs w:val="22"/>
        </w:rPr>
        <w:t>the recommended</w:t>
      </w:r>
      <w:r w:rsidR="00F27F3A" w:rsidRPr="41D7274E">
        <w:rPr>
          <w:sz w:val="22"/>
          <w:szCs w:val="22"/>
        </w:rPr>
        <w:t xml:space="preserve"> harmonised values for </w:t>
      </w:r>
      <w:r w:rsidR="00064D5C" w:rsidRPr="41D7274E">
        <w:rPr>
          <w:sz w:val="22"/>
          <w:szCs w:val="22"/>
        </w:rPr>
        <w:t xml:space="preserve">the </w:t>
      </w:r>
      <w:r w:rsidR="00553163" w:rsidRPr="41D7274E">
        <w:rPr>
          <w:sz w:val="22"/>
          <w:szCs w:val="22"/>
        </w:rPr>
        <w:t xml:space="preserve">international oil, gas and coal import prices and </w:t>
      </w:r>
      <w:r w:rsidR="00F27F3A" w:rsidRPr="41D7274E">
        <w:rPr>
          <w:sz w:val="22"/>
          <w:szCs w:val="22"/>
        </w:rPr>
        <w:t xml:space="preserve">carbon prices </w:t>
      </w:r>
      <w:r w:rsidR="00E81BA3" w:rsidRPr="41D7274E">
        <w:rPr>
          <w:sz w:val="22"/>
          <w:szCs w:val="22"/>
        </w:rPr>
        <w:t xml:space="preserve">set out </w:t>
      </w:r>
      <w:r w:rsidR="00F27F3A" w:rsidRPr="41D7274E">
        <w:rPr>
          <w:sz w:val="22"/>
          <w:szCs w:val="22"/>
        </w:rPr>
        <w:t>in Annex I</w:t>
      </w:r>
      <w:r w:rsidR="00F03D2E" w:rsidRPr="41D7274E">
        <w:rPr>
          <w:sz w:val="22"/>
          <w:szCs w:val="22"/>
        </w:rPr>
        <w:t>,</w:t>
      </w:r>
      <w:r w:rsidR="00541946" w:rsidRPr="41D7274E">
        <w:rPr>
          <w:sz w:val="22"/>
          <w:szCs w:val="22"/>
        </w:rPr>
        <w:t xml:space="preserve"> for the 202</w:t>
      </w:r>
      <w:r w:rsidR="00AC274A">
        <w:rPr>
          <w:sz w:val="22"/>
          <w:szCs w:val="22"/>
        </w:rPr>
        <w:t>5</w:t>
      </w:r>
      <w:r w:rsidR="00541946" w:rsidRPr="41D7274E">
        <w:rPr>
          <w:sz w:val="22"/>
          <w:szCs w:val="22"/>
        </w:rPr>
        <w:t xml:space="preserve"> GHG projections</w:t>
      </w:r>
      <w:r w:rsidR="00C50EDB" w:rsidRPr="00C82E6B">
        <w:rPr>
          <w:sz w:val="22"/>
          <w:szCs w:val="22"/>
        </w:rPr>
        <w:t>.</w:t>
      </w:r>
      <w:r w:rsidR="007C2025">
        <w:rPr>
          <w:sz w:val="22"/>
          <w:szCs w:val="22"/>
        </w:rPr>
        <w:t xml:space="preserve"> The base year to communicate </w:t>
      </w:r>
      <w:r w:rsidR="00F10BAA">
        <w:rPr>
          <w:sz w:val="22"/>
          <w:szCs w:val="22"/>
        </w:rPr>
        <w:t xml:space="preserve">recommended </w:t>
      </w:r>
      <w:r w:rsidR="007C2025">
        <w:rPr>
          <w:sz w:val="22"/>
          <w:szCs w:val="22"/>
        </w:rPr>
        <w:t xml:space="preserve">prices </w:t>
      </w:r>
      <w:r w:rsidR="006B2BFC">
        <w:rPr>
          <w:sz w:val="22"/>
          <w:szCs w:val="22"/>
        </w:rPr>
        <w:t>throughout</w:t>
      </w:r>
      <w:r w:rsidR="00F10BAA">
        <w:rPr>
          <w:sz w:val="22"/>
          <w:szCs w:val="22"/>
        </w:rPr>
        <w:t xml:space="preserve"> this document </w:t>
      </w:r>
      <w:r w:rsidR="0068592F">
        <w:rPr>
          <w:sz w:val="22"/>
          <w:szCs w:val="22"/>
        </w:rPr>
        <w:t>is</w:t>
      </w:r>
      <w:r w:rsidR="007C2025">
        <w:rPr>
          <w:sz w:val="22"/>
          <w:szCs w:val="22"/>
        </w:rPr>
        <w:t xml:space="preserve"> 2023</w:t>
      </w:r>
      <w:r w:rsidR="00EE3662" w:rsidRPr="00C82E6B">
        <w:rPr>
          <w:sz w:val="22"/>
          <w:szCs w:val="22"/>
        </w:rPr>
        <w:t xml:space="preserve">. </w:t>
      </w:r>
      <w:r w:rsidR="00C50EDB" w:rsidRPr="00C82E6B">
        <w:rPr>
          <w:sz w:val="22"/>
          <w:szCs w:val="22"/>
        </w:rPr>
        <w:t>It is important to be very clear in the reporting on the year used to express the values in constant prices,</w:t>
      </w:r>
      <w:r w:rsidR="00C50EDB" w:rsidRPr="41D7274E">
        <w:rPr>
          <w:sz w:val="22"/>
          <w:szCs w:val="22"/>
        </w:rPr>
        <w:t xml:space="preserve"> and to use the same unit across all monetary values reported.</w:t>
      </w:r>
    </w:p>
    <w:p w14:paraId="34FA03FE" w14:textId="4DE0FD90" w:rsidR="00262EB0" w:rsidRDefault="00061784" w:rsidP="00262EB0">
      <w:pPr>
        <w:spacing w:after="120" w:line="300" w:lineRule="atLeast"/>
        <w:jc w:val="both"/>
        <w:rPr>
          <w:sz w:val="22"/>
          <w:szCs w:val="22"/>
        </w:rPr>
      </w:pPr>
      <w:r>
        <w:rPr>
          <w:sz w:val="22"/>
          <w:szCs w:val="22"/>
        </w:rPr>
        <w:t xml:space="preserve">The Commission recommends </w:t>
      </w:r>
      <w:r w:rsidR="00B4517E">
        <w:rPr>
          <w:sz w:val="22"/>
          <w:szCs w:val="22"/>
        </w:rPr>
        <w:t>Member States to use these harmoni</w:t>
      </w:r>
      <w:r w:rsidR="004F5ED7">
        <w:rPr>
          <w:sz w:val="22"/>
          <w:szCs w:val="22"/>
        </w:rPr>
        <w:t>s</w:t>
      </w:r>
      <w:r w:rsidR="00B4517E">
        <w:rPr>
          <w:sz w:val="22"/>
          <w:szCs w:val="22"/>
        </w:rPr>
        <w:t>ed values in their projections</w:t>
      </w:r>
      <w:r w:rsidR="00497C90">
        <w:rPr>
          <w:sz w:val="22"/>
          <w:szCs w:val="22"/>
        </w:rPr>
        <w:t>.</w:t>
      </w:r>
      <w:r w:rsidR="00313AC9">
        <w:rPr>
          <w:sz w:val="22"/>
          <w:szCs w:val="22"/>
        </w:rPr>
        <w:t xml:space="preserve"> </w:t>
      </w:r>
      <w:r w:rsidR="00C50EDB">
        <w:rPr>
          <w:sz w:val="22"/>
          <w:szCs w:val="22"/>
        </w:rPr>
        <w:t xml:space="preserve"> </w:t>
      </w:r>
      <w:r w:rsidR="00262EB0" w:rsidRPr="007E136C">
        <w:rPr>
          <w:sz w:val="22"/>
          <w:szCs w:val="22"/>
        </w:rPr>
        <w:t>Should a Member State decide to use other values</w:t>
      </w:r>
      <w:r w:rsidR="00262EB0">
        <w:rPr>
          <w:sz w:val="22"/>
          <w:szCs w:val="22"/>
        </w:rPr>
        <w:t xml:space="preserve"> than the recommended ones</w:t>
      </w:r>
      <w:r w:rsidR="00262EB0" w:rsidRPr="007E136C">
        <w:rPr>
          <w:sz w:val="22"/>
          <w:szCs w:val="22"/>
        </w:rPr>
        <w:t xml:space="preserve">, the reasons for doing so should be </w:t>
      </w:r>
      <w:r w:rsidR="00262EB0">
        <w:rPr>
          <w:sz w:val="22"/>
          <w:szCs w:val="22"/>
        </w:rPr>
        <w:t xml:space="preserve">clearly </w:t>
      </w:r>
      <w:r w:rsidR="00262EB0" w:rsidRPr="007E136C">
        <w:rPr>
          <w:sz w:val="22"/>
          <w:szCs w:val="22"/>
        </w:rPr>
        <w:t>provided</w:t>
      </w:r>
      <w:r w:rsidR="00262EB0">
        <w:rPr>
          <w:sz w:val="22"/>
          <w:szCs w:val="22"/>
        </w:rPr>
        <w:t xml:space="preserve"> in the report accompanying the data submission files,</w:t>
      </w:r>
      <w:r w:rsidR="00262EB0" w:rsidRPr="007E136C">
        <w:rPr>
          <w:sz w:val="22"/>
          <w:szCs w:val="22"/>
        </w:rPr>
        <w:t xml:space="preserve"> together with a sensitivity analysis</w:t>
      </w:r>
      <w:r w:rsidR="00E97161">
        <w:rPr>
          <w:sz w:val="22"/>
          <w:szCs w:val="22"/>
        </w:rPr>
        <w:t>,</w:t>
      </w:r>
      <w:r w:rsidR="00262EB0" w:rsidRPr="007E136C">
        <w:rPr>
          <w:sz w:val="22"/>
          <w:szCs w:val="22"/>
        </w:rPr>
        <w:t xml:space="preserve"> which uses the</w:t>
      </w:r>
      <w:r w:rsidR="00262EB0">
        <w:rPr>
          <w:sz w:val="22"/>
          <w:szCs w:val="22"/>
        </w:rPr>
        <w:t xml:space="preserve"> values of the</w:t>
      </w:r>
      <w:r w:rsidR="00262EB0" w:rsidRPr="007E136C">
        <w:rPr>
          <w:sz w:val="22"/>
          <w:szCs w:val="22"/>
        </w:rPr>
        <w:t xml:space="preserve"> recommended harmoni</w:t>
      </w:r>
      <w:r w:rsidR="00736DBB">
        <w:rPr>
          <w:sz w:val="22"/>
          <w:szCs w:val="22"/>
        </w:rPr>
        <w:t>s</w:t>
      </w:r>
      <w:r w:rsidR="00262EB0" w:rsidRPr="007E136C">
        <w:rPr>
          <w:sz w:val="22"/>
          <w:szCs w:val="22"/>
        </w:rPr>
        <w:t>ed parameters in Annex I.</w:t>
      </w:r>
      <w:r w:rsidR="00262EB0">
        <w:rPr>
          <w:sz w:val="22"/>
          <w:szCs w:val="22"/>
        </w:rPr>
        <w:t xml:space="preserve"> </w:t>
      </w:r>
    </w:p>
    <w:p w14:paraId="738AB5D1" w14:textId="77777777" w:rsidR="00C74CD8" w:rsidRDefault="00C74CD8" w:rsidP="006159C7">
      <w:pPr>
        <w:spacing w:after="120" w:line="300" w:lineRule="atLeast"/>
        <w:jc w:val="both"/>
        <w:rPr>
          <w:sz w:val="22"/>
          <w:szCs w:val="22"/>
        </w:rPr>
      </w:pPr>
    </w:p>
    <w:p w14:paraId="2B6E1813" w14:textId="7B0D71B3" w:rsidR="004D73A4" w:rsidRPr="00A276B7" w:rsidRDefault="004D73A4" w:rsidP="004D73A4">
      <w:pPr>
        <w:spacing w:after="120" w:line="300" w:lineRule="atLeast"/>
        <w:jc w:val="both"/>
        <w:rPr>
          <w:b/>
          <w:bCs/>
          <w:sz w:val="22"/>
          <w:szCs w:val="22"/>
          <w:lang w:val="en-IE"/>
        </w:rPr>
      </w:pPr>
      <w:r w:rsidRPr="00A276B7">
        <w:rPr>
          <w:b/>
          <w:bCs/>
          <w:sz w:val="22"/>
          <w:szCs w:val="22"/>
          <w:lang w:val="en-IE"/>
        </w:rPr>
        <w:t>International Fuel Prices</w:t>
      </w:r>
      <w:r w:rsidR="00AC274A" w:rsidRPr="00A276B7">
        <w:rPr>
          <w:b/>
          <w:bCs/>
          <w:sz w:val="22"/>
          <w:szCs w:val="22"/>
          <w:lang w:val="en-IE"/>
        </w:rPr>
        <w:t xml:space="preserve"> </w:t>
      </w:r>
    </w:p>
    <w:p w14:paraId="6D6EC4DE" w14:textId="77777777" w:rsidR="00652FEB" w:rsidRDefault="00652FEB" w:rsidP="00652FEB">
      <w:pPr>
        <w:spacing w:after="120" w:line="276" w:lineRule="auto"/>
        <w:jc w:val="both"/>
        <w:rPr>
          <w:sz w:val="22"/>
          <w:szCs w:val="22"/>
        </w:rPr>
      </w:pPr>
      <w:r>
        <w:rPr>
          <w:sz w:val="22"/>
          <w:szCs w:val="22"/>
        </w:rPr>
        <w:t>International fuel prices decreased significantly from the extreme values experienced at the high of the 2022 energy crisis. While gas prices remain above historical averages, market indicators point at a stabilisation brought about by fuel switch, consumption reduction and diversification of supply. However, the energy crisis highlighted the extreme volatility of fossil fuel prices.</w:t>
      </w:r>
    </w:p>
    <w:p w14:paraId="4D83642C" w14:textId="77777777" w:rsidR="00652FEB" w:rsidRPr="004D73A4" w:rsidRDefault="00652FEB" w:rsidP="00652FEB">
      <w:pPr>
        <w:spacing w:after="120" w:line="276" w:lineRule="auto"/>
        <w:jc w:val="both"/>
        <w:rPr>
          <w:sz w:val="22"/>
          <w:szCs w:val="22"/>
        </w:rPr>
      </w:pPr>
      <w:r>
        <w:rPr>
          <w:sz w:val="22"/>
          <w:szCs w:val="22"/>
        </w:rPr>
        <w:lastRenderedPageBreak/>
        <w:t>In this context, any long-term trajectory for fuel prices should be viewed with caution and put into perspective. A</w:t>
      </w:r>
      <w:r w:rsidRPr="004D73A4">
        <w:rPr>
          <w:sz w:val="22"/>
          <w:szCs w:val="22"/>
        </w:rPr>
        <w:t xml:space="preserve"> very high degree of uncertainty remains on the future evolution of international fuel prices in the coming years.</w:t>
      </w:r>
    </w:p>
    <w:p w14:paraId="44A6B8A3" w14:textId="77777777" w:rsidR="00652FEB" w:rsidRPr="0023547B" w:rsidRDefault="00652FEB" w:rsidP="00652FEB">
      <w:pPr>
        <w:spacing w:after="120" w:line="300" w:lineRule="atLeast"/>
        <w:jc w:val="both"/>
        <w:rPr>
          <w:sz w:val="22"/>
          <w:szCs w:val="22"/>
        </w:rPr>
      </w:pPr>
      <w:r>
        <w:rPr>
          <w:sz w:val="22"/>
          <w:szCs w:val="22"/>
        </w:rPr>
        <w:t>T</w:t>
      </w:r>
      <w:r w:rsidRPr="004D73A4">
        <w:rPr>
          <w:sz w:val="22"/>
          <w:szCs w:val="22"/>
        </w:rPr>
        <w:t>h</w:t>
      </w:r>
      <w:r>
        <w:rPr>
          <w:sz w:val="22"/>
          <w:szCs w:val="22"/>
        </w:rPr>
        <w:t>e</w:t>
      </w:r>
      <w:r w:rsidRPr="004D73A4">
        <w:rPr>
          <w:sz w:val="22"/>
          <w:szCs w:val="22"/>
        </w:rPr>
        <w:t xml:space="preserve"> </w:t>
      </w:r>
      <w:r>
        <w:rPr>
          <w:sz w:val="22"/>
          <w:szCs w:val="22"/>
        </w:rPr>
        <w:t xml:space="preserve">recommended trajectories for </w:t>
      </w:r>
      <w:r w:rsidRPr="001100C9">
        <w:rPr>
          <w:sz w:val="22"/>
          <w:szCs w:val="22"/>
        </w:rPr>
        <w:t>oil, gas and coal import prices</w:t>
      </w:r>
      <w:r>
        <w:rPr>
          <w:sz w:val="22"/>
          <w:szCs w:val="22"/>
        </w:rPr>
        <w:t xml:space="preserve"> </w:t>
      </w:r>
      <w:r w:rsidRPr="004D73A4">
        <w:rPr>
          <w:sz w:val="22"/>
          <w:szCs w:val="22"/>
        </w:rPr>
        <w:t>combin</w:t>
      </w:r>
      <w:r>
        <w:rPr>
          <w:sz w:val="22"/>
          <w:szCs w:val="22"/>
        </w:rPr>
        <w:t>e</w:t>
      </w:r>
      <w:r w:rsidRPr="004D73A4">
        <w:rPr>
          <w:sz w:val="22"/>
          <w:szCs w:val="22"/>
        </w:rPr>
        <w:t xml:space="preserve"> recent </w:t>
      </w:r>
      <w:r>
        <w:rPr>
          <w:sz w:val="22"/>
          <w:szCs w:val="22"/>
        </w:rPr>
        <w:t xml:space="preserve">market </w:t>
      </w:r>
      <w:r w:rsidRPr="004D73A4">
        <w:rPr>
          <w:sz w:val="22"/>
          <w:szCs w:val="22"/>
        </w:rPr>
        <w:t>developments with long-term trends</w:t>
      </w:r>
      <w:r w:rsidRPr="0023547B">
        <w:rPr>
          <w:sz w:val="22"/>
          <w:szCs w:val="22"/>
        </w:rPr>
        <w:t>:</w:t>
      </w:r>
    </w:p>
    <w:p w14:paraId="4B061816" w14:textId="23BE6F75" w:rsidR="00652FEB" w:rsidRPr="00E27B6C" w:rsidRDefault="00652FEB" w:rsidP="00652FEB">
      <w:pPr>
        <w:pStyle w:val="ListParagraph"/>
        <w:numPr>
          <w:ilvl w:val="0"/>
          <w:numId w:val="23"/>
        </w:numPr>
        <w:spacing w:after="120" w:line="300" w:lineRule="atLeast"/>
        <w:jc w:val="left"/>
        <w:rPr>
          <w:rFonts w:ascii="Times New Roman" w:hAnsi="Times New Roman"/>
          <w:lang w:eastAsia="en-GB"/>
        </w:rPr>
      </w:pPr>
      <w:r w:rsidRPr="00E27B6C">
        <w:rPr>
          <w:rFonts w:ascii="Times New Roman" w:hAnsi="Times New Roman"/>
        </w:rPr>
        <w:t>updated historical data for 2018-202</w:t>
      </w:r>
      <w:r w:rsidR="000951F6">
        <w:rPr>
          <w:rFonts w:ascii="Times New Roman" w:hAnsi="Times New Roman"/>
        </w:rPr>
        <w:t>3</w:t>
      </w:r>
      <w:r w:rsidRPr="00E27B6C">
        <w:rPr>
          <w:rFonts w:ascii="Times New Roman" w:hAnsi="Times New Roman"/>
        </w:rPr>
        <w:t xml:space="preserve"> combined with estimates of price in 202</w:t>
      </w:r>
      <w:r>
        <w:rPr>
          <w:rFonts w:ascii="Times New Roman" w:hAnsi="Times New Roman"/>
        </w:rPr>
        <w:t>4 and 2025</w:t>
      </w:r>
      <w:r w:rsidRPr="00E27B6C">
        <w:rPr>
          <w:rFonts w:ascii="Times New Roman" w:hAnsi="Times New Roman"/>
        </w:rPr>
        <w:t xml:space="preserve"> </w:t>
      </w:r>
      <w:r>
        <w:rPr>
          <w:rFonts w:ascii="Times New Roman" w:hAnsi="Times New Roman"/>
        </w:rPr>
        <w:t>based on the market price of futures contracts</w:t>
      </w:r>
      <w:r w:rsidRPr="00E27B6C">
        <w:rPr>
          <w:rFonts w:ascii="Times New Roman" w:hAnsi="Times New Roman"/>
        </w:rPr>
        <w:t>, and</w:t>
      </w:r>
    </w:p>
    <w:p w14:paraId="43D6D9C9" w14:textId="77777777" w:rsidR="00652FEB" w:rsidRDefault="00652FEB" w:rsidP="00652FEB">
      <w:pPr>
        <w:pStyle w:val="ListParagraph"/>
        <w:numPr>
          <w:ilvl w:val="0"/>
          <w:numId w:val="23"/>
        </w:numPr>
        <w:spacing w:after="120" w:line="300" w:lineRule="atLeast"/>
        <w:jc w:val="left"/>
        <w:rPr>
          <w:rFonts w:ascii="Times New Roman" w:hAnsi="Times New Roman"/>
          <w:lang w:eastAsia="en-GB"/>
        </w:rPr>
      </w:pPr>
      <w:r w:rsidRPr="00583ACE">
        <w:rPr>
          <w:rFonts w:ascii="Times New Roman" w:hAnsi="Times New Roman"/>
          <w:lang w:eastAsia="en-GB"/>
        </w:rPr>
        <w:t>a</w:t>
      </w:r>
      <w:r>
        <w:rPr>
          <w:rFonts w:ascii="Times New Roman" w:hAnsi="Times New Roman"/>
          <w:lang w:eastAsia="en-GB"/>
        </w:rPr>
        <w:t>n</w:t>
      </w:r>
      <w:r w:rsidRPr="00583ACE">
        <w:rPr>
          <w:rFonts w:ascii="Times New Roman" w:hAnsi="Times New Roman"/>
          <w:lang w:eastAsia="en-GB"/>
        </w:rPr>
        <w:t xml:space="preserve"> interpolation to long term trajectory </w:t>
      </w:r>
      <w:r>
        <w:rPr>
          <w:rFonts w:ascii="Times New Roman" w:hAnsi="Times New Roman"/>
          <w:lang w:eastAsia="en-GB"/>
        </w:rPr>
        <w:t>derived</w:t>
      </w:r>
      <w:r w:rsidRPr="0023547B">
        <w:rPr>
          <w:rFonts w:ascii="Times New Roman" w:hAnsi="Times New Roman"/>
          <w:lang w:eastAsia="en-GB"/>
        </w:rPr>
        <w:t xml:space="preserve"> </w:t>
      </w:r>
      <w:r>
        <w:rPr>
          <w:rFonts w:ascii="Times New Roman" w:hAnsi="Times New Roman"/>
          <w:lang w:eastAsia="en-GB"/>
        </w:rPr>
        <w:t xml:space="preserve">from </w:t>
      </w:r>
      <w:r w:rsidRPr="0081274B">
        <w:rPr>
          <w:rFonts w:ascii="Times New Roman" w:hAnsi="Times New Roman"/>
          <w:lang w:eastAsia="en-GB"/>
        </w:rPr>
        <w:t xml:space="preserve">the </w:t>
      </w:r>
      <w:r>
        <w:rPr>
          <w:rFonts w:ascii="Times New Roman" w:hAnsi="Times New Roman"/>
          <w:lang w:eastAsia="en-GB"/>
        </w:rPr>
        <w:t>Global Climate and Energy Outlook 2023</w:t>
      </w:r>
      <w:r w:rsidRPr="0081274B">
        <w:rPr>
          <w:rStyle w:val="FootnoteReference"/>
          <w:rFonts w:ascii="Times New Roman" w:hAnsi="Times New Roman"/>
          <w:lang w:eastAsia="en-GB"/>
        </w:rPr>
        <w:footnoteReference w:id="4"/>
      </w:r>
      <w:r>
        <w:rPr>
          <w:rFonts w:ascii="Times New Roman" w:hAnsi="Times New Roman"/>
          <w:lang w:eastAsia="en-GB"/>
        </w:rPr>
        <w:t xml:space="preserve">, developed by the JRC and </w:t>
      </w:r>
      <w:r w:rsidRPr="00E77672">
        <w:rPr>
          <w:rFonts w:ascii="Times New Roman" w:hAnsi="Times New Roman"/>
          <w:lang w:eastAsia="en-GB"/>
        </w:rPr>
        <w:t>based</w:t>
      </w:r>
      <w:r w:rsidRPr="00583ACE">
        <w:rPr>
          <w:rFonts w:ascii="Times New Roman" w:hAnsi="Times New Roman"/>
          <w:lang w:eastAsia="en-GB"/>
        </w:rPr>
        <w:t xml:space="preserve"> on comprehensive world energy modelling</w:t>
      </w:r>
      <w:r>
        <w:rPr>
          <w:rFonts w:ascii="Times New Roman" w:hAnsi="Times New Roman"/>
          <w:lang w:eastAsia="en-GB"/>
        </w:rPr>
        <w:t xml:space="preserve"> with the POLES model.</w:t>
      </w:r>
    </w:p>
    <w:p w14:paraId="18F6DC01" w14:textId="77777777" w:rsidR="004D7EC1" w:rsidRDefault="004D7EC1" w:rsidP="004D7EC1">
      <w:pPr>
        <w:pStyle w:val="ListParagraph"/>
        <w:spacing w:after="120" w:line="300" w:lineRule="atLeast"/>
        <w:jc w:val="left"/>
        <w:rPr>
          <w:rFonts w:ascii="Times New Roman" w:hAnsi="Times New Roman"/>
          <w:lang w:eastAsia="en-GB"/>
        </w:rPr>
      </w:pPr>
    </w:p>
    <w:p w14:paraId="75069B65" w14:textId="749CFA3B" w:rsidR="004D7EC1" w:rsidRDefault="004D7EC1" w:rsidP="004D7EC1">
      <w:pPr>
        <w:pStyle w:val="ListParagraph"/>
        <w:spacing w:after="120" w:line="300" w:lineRule="atLeast"/>
        <w:ind w:left="0"/>
        <w:rPr>
          <w:rFonts w:ascii="Times New Roman" w:hAnsi="Times New Roman"/>
        </w:rPr>
      </w:pPr>
      <w:r w:rsidRPr="00AC4210">
        <w:rPr>
          <w:rFonts w:ascii="Times New Roman" w:hAnsi="Times New Roman"/>
        </w:rPr>
        <w:t xml:space="preserve">For Member States </w:t>
      </w:r>
      <w:r>
        <w:rPr>
          <w:rFonts w:ascii="Times New Roman" w:hAnsi="Times New Roman"/>
        </w:rPr>
        <w:t>that</w:t>
      </w:r>
      <w:r w:rsidRPr="00AC4210">
        <w:rPr>
          <w:rFonts w:ascii="Times New Roman" w:hAnsi="Times New Roman"/>
        </w:rPr>
        <w:t xml:space="preserve"> perform the sensitivity analysis mentioned in point (d) of Annex VII of the Governance Regulation on gas prices, a range for gas prices with the purpose of sensitivity analysis is provided – see Annex I of this note.</w:t>
      </w:r>
    </w:p>
    <w:p w14:paraId="13146F62" w14:textId="77777777" w:rsidR="00C26BA4" w:rsidRDefault="00C26BA4" w:rsidP="00AC4210">
      <w:pPr>
        <w:pStyle w:val="ListParagraph"/>
        <w:spacing w:after="120" w:line="300" w:lineRule="atLeast"/>
        <w:ind w:left="0"/>
        <w:rPr>
          <w:rFonts w:ascii="Times New Roman" w:hAnsi="Times New Roman"/>
        </w:rPr>
      </w:pPr>
    </w:p>
    <w:p w14:paraId="04B1B8F3" w14:textId="13F35FC6" w:rsidR="004D73A4" w:rsidRPr="007C2025" w:rsidRDefault="004D73A4" w:rsidP="006159C7">
      <w:pPr>
        <w:spacing w:after="120" w:line="300" w:lineRule="atLeast"/>
        <w:jc w:val="both"/>
        <w:rPr>
          <w:b/>
          <w:bCs/>
          <w:sz w:val="22"/>
          <w:szCs w:val="22"/>
          <w:lang w:val="en-IE"/>
        </w:rPr>
      </w:pPr>
      <w:r w:rsidRPr="007C2025">
        <w:rPr>
          <w:b/>
          <w:bCs/>
          <w:sz w:val="22"/>
          <w:szCs w:val="22"/>
          <w:lang w:val="en-IE"/>
        </w:rPr>
        <w:t>Carbon price</w:t>
      </w:r>
    </w:p>
    <w:p w14:paraId="71AB2A8D" w14:textId="4DC05263" w:rsidR="004D73A4" w:rsidRPr="004D73A4" w:rsidRDefault="004D73A4" w:rsidP="00705C42">
      <w:pPr>
        <w:spacing w:after="120" w:line="300" w:lineRule="atLeast"/>
        <w:jc w:val="both"/>
        <w:rPr>
          <w:bCs/>
          <w:sz w:val="22"/>
          <w:szCs w:val="22"/>
        </w:rPr>
      </w:pPr>
      <w:r w:rsidRPr="004D73A4">
        <w:rPr>
          <w:sz w:val="22"/>
          <w:szCs w:val="22"/>
        </w:rPr>
        <w:t xml:space="preserve">The carbon price trajectory </w:t>
      </w:r>
      <w:r w:rsidR="00DF0446">
        <w:rPr>
          <w:sz w:val="22"/>
          <w:szCs w:val="22"/>
        </w:rPr>
        <w:t xml:space="preserve">for sectors under ETS I </w:t>
      </w:r>
      <w:r w:rsidRPr="004D73A4">
        <w:rPr>
          <w:sz w:val="22"/>
          <w:szCs w:val="22"/>
        </w:rPr>
        <w:t xml:space="preserve">for </w:t>
      </w:r>
      <w:r w:rsidRPr="004D73A4">
        <w:rPr>
          <w:sz w:val="22"/>
          <w:szCs w:val="22"/>
          <w:u w:val="single"/>
        </w:rPr>
        <w:t>20</w:t>
      </w:r>
      <w:r w:rsidR="00DD3F8B">
        <w:rPr>
          <w:sz w:val="22"/>
          <w:szCs w:val="22"/>
          <w:u w:val="single"/>
        </w:rPr>
        <w:t>18</w:t>
      </w:r>
      <w:r w:rsidRPr="004D73A4">
        <w:rPr>
          <w:sz w:val="22"/>
          <w:szCs w:val="22"/>
          <w:u w:val="single"/>
        </w:rPr>
        <w:t>-2030</w:t>
      </w:r>
      <w:r w:rsidRPr="004D73A4">
        <w:rPr>
          <w:sz w:val="22"/>
          <w:szCs w:val="22"/>
        </w:rPr>
        <w:t xml:space="preserve"> is based on:</w:t>
      </w:r>
    </w:p>
    <w:p w14:paraId="4E8C5A5C" w14:textId="4984A590" w:rsidR="004D73A4" w:rsidRPr="004D73A4" w:rsidRDefault="004D73A4" w:rsidP="00DD3F8B">
      <w:pPr>
        <w:pStyle w:val="ListParagraph"/>
        <w:numPr>
          <w:ilvl w:val="0"/>
          <w:numId w:val="24"/>
        </w:numPr>
        <w:spacing w:after="120" w:line="300" w:lineRule="atLeast"/>
        <w:rPr>
          <w:rFonts w:ascii="Times New Roman" w:hAnsi="Times New Roman"/>
        </w:rPr>
      </w:pPr>
      <w:r w:rsidRPr="004D73A4">
        <w:rPr>
          <w:rFonts w:ascii="Times New Roman" w:hAnsi="Times New Roman"/>
        </w:rPr>
        <w:t>historical data for 20</w:t>
      </w:r>
      <w:r w:rsidR="00DD3F8B">
        <w:rPr>
          <w:rFonts w:ascii="Times New Roman" w:hAnsi="Times New Roman"/>
        </w:rPr>
        <w:t>18</w:t>
      </w:r>
      <w:r w:rsidRPr="004D73A4">
        <w:rPr>
          <w:rFonts w:ascii="Times New Roman" w:hAnsi="Times New Roman"/>
        </w:rPr>
        <w:t>-</w:t>
      </w:r>
      <w:r w:rsidR="000C3A5D" w:rsidRPr="004D73A4">
        <w:rPr>
          <w:rFonts w:ascii="Times New Roman" w:hAnsi="Times New Roman"/>
        </w:rPr>
        <w:t>202</w:t>
      </w:r>
      <w:r w:rsidR="000C3A5D">
        <w:rPr>
          <w:rFonts w:ascii="Times New Roman" w:hAnsi="Times New Roman"/>
        </w:rPr>
        <w:t>3</w:t>
      </w:r>
      <w:r w:rsidRPr="004D73A4">
        <w:rPr>
          <w:rFonts w:ascii="Times New Roman" w:hAnsi="Times New Roman"/>
        </w:rPr>
        <w:t>,</w:t>
      </w:r>
    </w:p>
    <w:p w14:paraId="5786C96D" w14:textId="17E9669D" w:rsidR="004D73A4" w:rsidRPr="004D73A4" w:rsidRDefault="004D73A4" w:rsidP="00583ACE">
      <w:pPr>
        <w:pStyle w:val="ListParagraph"/>
        <w:numPr>
          <w:ilvl w:val="0"/>
          <w:numId w:val="24"/>
        </w:numPr>
        <w:spacing w:after="120" w:line="300" w:lineRule="atLeast"/>
        <w:rPr>
          <w:rFonts w:ascii="Times New Roman" w:hAnsi="Times New Roman"/>
        </w:rPr>
      </w:pPr>
      <w:r w:rsidRPr="004D73A4">
        <w:rPr>
          <w:rFonts w:ascii="Times New Roman" w:hAnsi="Times New Roman"/>
        </w:rPr>
        <w:t xml:space="preserve">an estimate </w:t>
      </w:r>
      <w:r w:rsidR="00CE7BFD">
        <w:rPr>
          <w:rFonts w:ascii="Times New Roman" w:hAnsi="Times New Roman"/>
        </w:rPr>
        <w:t xml:space="preserve">up to 2030 consistent with the </w:t>
      </w:r>
      <w:r w:rsidRPr="004D73A4">
        <w:rPr>
          <w:rFonts w:ascii="Times New Roman" w:hAnsi="Times New Roman"/>
        </w:rPr>
        <w:t xml:space="preserve">55% objective of GHG emission reduction </w:t>
      </w:r>
      <w:r w:rsidR="00C6092E">
        <w:rPr>
          <w:rFonts w:ascii="Times New Roman" w:hAnsi="Times New Roman"/>
        </w:rPr>
        <w:t>and considering the proposed gas and coal price trajectories</w:t>
      </w:r>
      <w:r w:rsidRPr="004D73A4">
        <w:rPr>
          <w:rFonts w:ascii="Times New Roman" w:hAnsi="Times New Roman"/>
        </w:rPr>
        <w:t>.</w:t>
      </w:r>
    </w:p>
    <w:p w14:paraId="68EA4020" w14:textId="77777777" w:rsidR="004D73A4" w:rsidRPr="004D73A4" w:rsidRDefault="004D73A4" w:rsidP="00705C42">
      <w:pPr>
        <w:spacing w:after="120" w:line="300" w:lineRule="atLeast"/>
        <w:jc w:val="both"/>
        <w:rPr>
          <w:sz w:val="22"/>
          <w:szCs w:val="22"/>
        </w:rPr>
      </w:pPr>
      <w:r w:rsidRPr="004D73A4">
        <w:rPr>
          <w:sz w:val="22"/>
          <w:szCs w:val="22"/>
        </w:rPr>
        <w:t xml:space="preserve">The proposed trajectory </w:t>
      </w:r>
      <w:r w:rsidRPr="004D73A4">
        <w:rPr>
          <w:sz w:val="22"/>
          <w:szCs w:val="22"/>
          <w:u w:val="single"/>
        </w:rPr>
        <w:t>beyond 2030</w:t>
      </w:r>
      <w:r w:rsidRPr="004D73A4">
        <w:rPr>
          <w:sz w:val="22"/>
          <w:szCs w:val="22"/>
        </w:rPr>
        <w:t xml:space="preserve"> makes a distinction between:</w:t>
      </w:r>
    </w:p>
    <w:p w14:paraId="7DAAEA2E" w14:textId="77777777" w:rsidR="004D73A4" w:rsidRPr="004D73A4" w:rsidRDefault="004D73A4" w:rsidP="00DD3F8B">
      <w:pPr>
        <w:pStyle w:val="ListParagraph"/>
        <w:numPr>
          <w:ilvl w:val="0"/>
          <w:numId w:val="25"/>
        </w:numPr>
        <w:spacing w:after="120" w:line="300" w:lineRule="atLeast"/>
        <w:rPr>
          <w:rFonts w:ascii="Times New Roman" w:hAnsi="Times New Roman"/>
        </w:rPr>
      </w:pPr>
      <w:r w:rsidRPr="004D73A4">
        <w:rPr>
          <w:rFonts w:ascii="Times New Roman" w:hAnsi="Times New Roman"/>
        </w:rPr>
        <w:t>a “With Existing Measures” (WEM) trajectory of the ETS carbon price for use in scenarios representing a baseline policy context without any additional measure and, for this reason, not compatible with the 2050 climate neutrality objective. This trajectory follows the REF2020 trajectory.</w:t>
      </w:r>
    </w:p>
    <w:p w14:paraId="20E6EFC2" w14:textId="07E4E1BB" w:rsidR="004D73A4" w:rsidRPr="004D73A4" w:rsidRDefault="004D73A4" w:rsidP="00DD3F8B">
      <w:pPr>
        <w:pStyle w:val="ListParagraph"/>
        <w:numPr>
          <w:ilvl w:val="0"/>
          <w:numId w:val="25"/>
        </w:numPr>
        <w:spacing w:after="120" w:line="300" w:lineRule="atLeast"/>
        <w:rPr>
          <w:rFonts w:ascii="Times New Roman" w:hAnsi="Times New Roman"/>
        </w:rPr>
      </w:pPr>
      <w:r w:rsidRPr="004D73A4">
        <w:rPr>
          <w:rFonts w:ascii="Times New Roman" w:hAnsi="Times New Roman"/>
        </w:rPr>
        <w:t xml:space="preserve">a “With Additional Measures” (WAM) trajectory for use in scenarios with additional policy measures, that would be compatible with the 2050 climate neutrality objective (and thus follow trajectories compatible with the </w:t>
      </w:r>
      <w:r w:rsidR="008E2D20" w:rsidRPr="004D73A4">
        <w:rPr>
          <w:rFonts w:ascii="Times New Roman" w:hAnsi="Times New Roman"/>
        </w:rPr>
        <w:t>Commission</w:t>
      </w:r>
      <w:r w:rsidR="008E2D20">
        <w:rPr>
          <w:rFonts w:ascii="Times New Roman" w:hAnsi="Times New Roman"/>
        </w:rPr>
        <w:t>’s</w:t>
      </w:r>
      <w:r w:rsidR="008E2D20" w:rsidRPr="004D73A4">
        <w:rPr>
          <w:rFonts w:ascii="Times New Roman" w:hAnsi="Times New Roman"/>
        </w:rPr>
        <w:t xml:space="preserve"> </w:t>
      </w:r>
      <w:r w:rsidRPr="004D73A4">
        <w:rPr>
          <w:rFonts w:ascii="Times New Roman" w:hAnsi="Times New Roman"/>
        </w:rPr>
        <w:t>FF55 analysis). It must be noted that the trajectory departs from an explicit “ETS carbon price” to become a “shadow cost of GHG mitigation”, representing in the modelling the “dual value” of GHG abatement in the absence of further sectoral policies beyond 2030</w:t>
      </w:r>
      <w:bookmarkStart w:id="0" w:name="_Ref98839745"/>
      <w:r w:rsidRPr="004D73A4">
        <w:rPr>
          <w:rStyle w:val="FootnoteReference"/>
          <w:rFonts w:ascii="Times New Roman" w:hAnsi="Times New Roman"/>
        </w:rPr>
        <w:footnoteReference w:id="5"/>
      </w:r>
      <w:bookmarkEnd w:id="0"/>
      <w:r w:rsidRPr="004D73A4">
        <w:rPr>
          <w:rFonts w:ascii="Times New Roman" w:hAnsi="Times New Roman"/>
        </w:rPr>
        <w:t xml:space="preserve">. </w:t>
      </w:r>
    </w:p>
    <w:p w14:paraId="178A18FC" w14:textId="40C95D81" w:rsidR="3EF526FB" w:rsidRDefault="561F42F7" w:rsidP="3EF526FB">
      <w:pPr>
        <w:spacing w:after="120" w:line="300" w:lineRule="atLeast"/>
        <w:jc w:val="both"/>
        <w:rPr>
          <w:sz w:val="22"/>
          <w:szCs w:val="22"/>
        </w:rPr>
      </w:pPr>
      <w:r w:rsidRPr="3EF526FB">
        <w:rPr>
          <w:sz w:val="22"/>
          <w:szCs w:val="22"/>
        </w:rPr>
        <w:t>T</w:t>
      </w:r>
      <w:r w:rsidR="12C7754F" w:rsidRPr="3EF526FB">
        <w:rPr>
          <w:sz w:val="22"/>
          <w:szCs w:val="22"/>
        </w:rPr>
        <w:t>he ETS II carbon price trajectory for 2027-2030 is based on the recommendations shared with MS</w:t>
      </w:r>
      <w:r w:rsidR="00ED0D33" w:rsidRPr="3EF526FB">
        <w:rPr>
          <w:sz w:val="22"/>
          <w:szCs w:val="22"/>
        </w:rPr>
        <w:t xml:space="preserve"> on March 2023 </w:t>
      </w:r>
      <w:r w:rsidR="12C7754F" w:rsidRPr="3EF526FB">
        <w:rPr>
          <w:sz w:val="22"/>
          <w:szCs w:val="22"/>
        </w:rPr>
        <w:t>in the context of the update of NECPs</w:t>
      </w:r>
      <w:r w:rsidR="00ED0D33" w:rsidRPr="3EF526FB">
        <w:rPr>
          <w:sz w:val="22"/>
          <w:szCs w:val="22"/>
        </w:rPr>
        <w:t xml:space="preserve"> (see Annex III).</w:t>
      </w:r>
      <w:r w:rsidR="005D0A3D">
        <w:rPr>
          <w:sz w:val="22"/>
          <w:szCs w:val="22"/>
        </w:rPr>
        <w:t xml:space="preserve"> Compared to the prices indicated in the document shared in March 2023, prices have been updated to from EUR2020 to 2023EUR to ensure consistency throughout this document.</w:t>
      </w:r>
      <w:r w:rsidR="00E73E64">
        <w:rPr>
          <w:sz w:val="22"/>
          <w:szCs w:val="22"/>
        </w:rPr>
        <w:t xml:space="preserve"> For long term values beyond 2030, Member States can assume in their WAM scenarios for ETS2 sectors carbon values in line with EU climate neutrality.</w:t>
      </w:r>
    </w:p>
    <w:p w14:paraId="22101A9C" w14:textId="77777777" w:rsidR="00E73E64" w:rsidRDefault="00E73E64" w:rsidP="3EF526FB">
      <w:pPr>
        <w:spacing w:after="120" w:line="300" w:lineRule="atLeast"/>
        <w:jc w:val="both"/>
        <w:rPr>
          <w:sz w:val="22"/>
          <w:szCs w:val="22"/>
        </w:rPr>
      </w:pPr>
    </w:p>
    <w:p w14:paraId="52A84B92" w14:textId="5499C21A" w:rsidR="00953C23" w:rsidRDefault="00D47F43" w:rsidP="00AC4210">
      <w:pPr>
        <w:numPr>
          <w:ilvl w:val="0"/>
          <w:numId w:val="22"/>
        </w:numPr>
        <w:spacing w:after="120" w:line="300" w:lineRule="atLeast"/>
        <w:jc w:val="both"/>
        <w:rPr>
          <w:sz w:val="22"/>
          <w:szCs w:val="22"/>
          <w:u w:val="single"/>
        </w:rPr>
      </w:pPr>
      <w:r w:rsidRPr="00DD0793">
        <w:rPr>
          <w:sz w:val="22"/>
          <w:szCs w:val="22"/>
          <w:u w:val="single"/>
        </w:rPr>
        <w:lastRenderedPageBreak/>
        <w:t xml:space="preserve">Consistent </w:t>
      </w:r>
      <w:r w:rsidR="00E81A71" w:rsidRPr="00DD0793">
        <w:rPr>
          <w:sz w:val="22"/>
          <w:szCs w:val="22"/>
          <w:u w:val="single"/>
        </w:rPr>
        <w:t>other</w:t>
      </w:r>
      <w:r w:rsidRPr="00DD0793">
        <w:rPr>
          <w:sz w:val="22"/>
          <w:szCs w:val="22"/>
          <w:u w:val="single"/>
        </w:rPr>
        <w:t xml:space="preserve"> a</w:t>
      </w:r>
      <w:r w:rsidR="00953C23" w:rsidRPr="00DD0793">
        <w:rPr>
          <w:sz w:val="22"/>
          <w:szCs w:val="22"/>
          <w:u w:val="single"/>
        </w:rPr>
        <w:t>ssumptions</w:t>
      </w:r>
    </w:p>
    <w:p w14:paraId="1D67EFFD" w14:textId="77777777" w:rsidR="004D73A4" w:rsidRPr="004D73A4" w:rsidRDefault="004D73A4" w:rsidP="004D73A4">
      <w:pPr>
        <w:pStyle w:val="CommentText"/>
        <w:spacing w:after="120" w:line="300" w:lineRule="atLeast"/>
        <w:rPr>
          <w:sz w:val="22"/>
          <w:szCs w:val="22"/>
        </w:rPr>
      </w:pPr>
      <w:r w:rsidRPr="004D73A4">
        <w:rPr>
          <w:sz w:val="22"/>
          <w:szCs w:val="22"/>
        </w:rPr>
        <w:t>In view of facilitating a meaningful EU-wide aggregation of projections, Member States are invited to use the assumptions provided in Annex II on:</w:t>
      </w:r>
    </w:p>
    <w:p w14:paraId="376E8F7B" w14:textId="77777777" w:rsidR="004D73A4" w:rsidRPr="004D73A4" w:rsidRDefault="004D73A4" w:rsidP="004D73A4">
      <w:pPr>
        <w:pStyle w:val="CommentText"/>
        <w:numPr>
          <w:ilvl w:val="0"/>
          <w:numId w:val="18"/>
        </w:numPr>
        <w:spacing w:after="120" w:line="300" w:lineRule="atLeast"/>
        <w:jc w:val="both"/>
        <w:rPr>
          <w:sz w:val="22"/>
          <w:szCs w:val="22"/>
        </w:rPr>
      </w:pPr>
      <w:r w:rsidRPr="004D73A4">
        <w:rPr>
          <w:sz w:val="22"/>
          <w:szCs w:val="22"/>
        </w:rPr>
        <w:t>Population</w:t>
      </w:r>
    </w:p>
    <w:p w14:paraId="278341F8" w14:textId="77777777" w:rsidR="004D73A4" w:rsidRPr="004D73A4" w:rsidRDefault="004D73A4" w:rsidP="004D73A4">
      <w:pPr>
        <w:pStyle w:val="CommentText"/>
        <w:numPr>
          <w:ilvl w:val="0"/>
          <w:numId w:val="18"/>
        </w:numPr>
        <w:spacing w:after="120" w:line="300" w:lineRule="atLeast"/>
        <w:jc w:val="both"/>
        <w:rPr>
          <w:sz w:val="22"/>
          <w:szCs w:val="22"/>
        </w:rPr>
      </w:pPr>
      <w:r w:rsidRPr="004D73A4">
        <w:rPr>
          <w:sz w:val="22"/>
          <w:szCs w:val="22"/>
        </w:rPr>
        <w:t>Gross Domestic Product (GDP) growth</w:t>
      </w:r>
    </w:p>
    <w:p w14:paraId="71868A3A" w14:textId="77777777" w:rsidR="004D73A4" w:rsidRPr="004D73A4" w:rsidRDefault="004D73A4" w:rsidP="002C4298">
      <w:pPr>
        <w:pStyle w:val="CommentText"/>
        <w:spacing w:after="120" w:line="300" w:lineRule="atLeast"/>
        <w:jc w:val="both"/>
        <w:rPr>
          <w:sz w:val="22"/>
          <w:szCs w:val="22"/>
        </w:rPr>
      </w:pPr>
      <w:r w:rsidRPr="004D73A4">
        <w:rPr>
          <w:sz w:val="22"/>
          <w:szCs w:val="22"/>
        </w:rPr>
        <w:t>This will further enhance the robustness of the EU aggregation of the projections needed for progress reporting in the EU and to the UN, as well as the comparability of the analytical projections across Member States. At the same time the data shared serves as concrete suggestions when corresponding information at national level is not available.</w:t>
      </w:r>
    </w:p>
    <w:p w14:paraId="5171C9AE" w14:textId="77777777" w:rsidR="004D73A4" w:rsidRPr="004D73A4" w:rsidRDefault="004D73A4" w:rsidP="002C4298">
      <w:pPr>
        <w:pStyle w:val="CommentText"/>
        <w:spacing w:after="120" w:line="300" w:lineRule="atLeast"/>
        <w:jc w:val="both"/>
        <w:rPr>
          <w:sz w:val="22"/>
          <w:szCs w:val="22"/>
        </w:rPr>
      </w:pPr>
      <w:r w:rsidRPr="004D73A4">
        <w:rPr>
          <w:sz w:val="22"/>
          <w:szCs w:val="22"/>
        </w:rPr>
        <w:t>If there are reasons for national deviations and country-specific estimates are available, it is suggested to use the listed assumptions for a sensitivity analysis and to include related information in the report accompanying the GHG projection data files.</w:t>
      </w:r>
    </w:p>
    <w:p w14:paraId="155306BC" w14:textId="0DDB5646" w:rsidR="004D73A4" w:rsidRPr="004D73A4" w:rsidRDefault="004D73A4" w:rsidP="00AC4210">
      <w:pPr>
        <w:spacing w:after="120" w:line="300" w:lineRule="atLeast"/>
        <w:jc w:val="both"/>
        <w:rPr>
          <w:sz w:val="22"/>
          <w:szCs w:val="22"/>
        </w:rPr>
      </w:pPr>
      <w:r w:rsidRPr="3AFFED31">
        <w:rPr>
          <w:sz w:val="22"/>
          <w:szCs w:val="22"/>
        </w:rPr>
        <w:t xml:space="preserve">The data on population is </w:t>
      </w:r>
      <w:r w:rsidR="18A9B979" w:rsidRPr="3AFFED31">
        <w:rPr>
          <w:sz w:val="22"/>
          <w:szCs w:val="22"/>
        </w:rPr>
        <w:t xml:space="preserve">aligned with the latest </w:t>
      </w:r>
      <w:r w:rsidR="00024110">
        <w:rPr>
          <w:sz w:val="22"/>
          <w:szCs w:val="22"/>
        </w:rPr>
        <w:t xml:space="preserve">European Commission </w:t>
      </w:r>
      <w:r w:rsidR="00186EB1">
        <w:rPr>
          <w:sz w:val="22"/>
          <w:szCs w:val="22"/>
        </w:rPr>
        <w:t xml:space="preserve">2024 </w:t>
      </w:r>
      <w:r w:rsidR="3E18A41A" w:rsidRPr="3AFFED31">
        <w:rPr>
          <w:sz w:val="22"/>
          <w:szCs w:val="22"/>
        </w:rPr>
        <w:t>Ageing Report</w:t>
      </w:r>
      <w:r w:rsidRPr="00A276B7">
        <w:rPr>
          <w:sz w:val="22"/>
          <w:szCs w:val="22"/>
          <w:vertAlign w:val="superscript"/>
        </w:rPr>
        <w:footnoteReference w:id="6"/>
      </w:r>
      <w:r w:rsidR="007F0EB8">
        <w:rPr>
          <w:sz w:val="22"/>
          <w:szCs w:val="22"/>
        </w:rPr>
        <w:t xml:space="preserve">, which </w:t>
      </w:r>
      <w:r w:rsidR="00186EB1">
        <w:rPr>
          <w:sz w:val="22"/>
          <w:szCs w:val="22"/>
        </w:rPr>
        <w:t>is based to</w:t>
      </w:r>
      <w:r w:rsidRPr="3AFFED31">
        <w:rPr>
          <w:sz w:val="22"/>
          <w:szCs w:val="22"/>
        </w:rPr>
        <w:t xml:space="preserve"> the Eurostat EUROPOP20</w:t>
      </w:r>
      <w:r w:rsidR="00A013EC">
        <w:rPr>
          <w:sz w:val="22"/>
          <w:szCs w:val="22"/>
        </w:rPr>
        <w:t>23</w:t>
      </w:r>
      <w:r w:rsidRPr="3AFFED31">
        <w:rPr>
          <w:sz w:val="22"/>
          <w:szCs w:val="22"/>
        </w:rPr>
        <w:t xml:space="preserve"> population projections and it includes updated values for the historical data (2020-2021) as from the most recent release of Eurostat population dataset</w:t>
      </w:r>
      <w:r w:rsidR="00891516">
        <w:rPr>
          <w:sz w:val="22"/>
          <w:szCs w:val="22"/>
        </w:rPr>
        <w:t xml:space="preserve"> (</w:t>
      </w:r>
      <w:r w:rsidR="00891516" w:rsidRPr="00891516">
        <w:rPr>
          <w:sz w:val="22"/>
          <w:szCs w:val="22"/>
        </w:rPr>
        <w:t xml:space="preserve">Eurostat, [TPS00001] </w:t>
      </w:r>
      <w:r w:rsidR="004722E4">
        <w:rPr>
          <w:sz w:val="22"/>
          <w:szCs w:val="22"/>
        </w:rPr>
        <w:t>P</w:t>
      </w:r>
      <w:r w:rsidR="00891516" w:rsidRPr="00891516">
        <w:rPr>
          <w:sz w:val="22"/>
          <w:szCs w:val="22"/>
        </w:rPr>
        <w:t>ersons having their usual residence in a country on 1 January of the respective year</w:t>
      </w:r>
      <w:r w:rsidR="004722E4">
        <w:rPr>
          <w:sz w:val="22"/>
          <w:szCs w:val="22"/>
        </w:rPr>
        <w:t>)</w:t>
      </w:r>
      <w:r w:rsidRPr="3AFFED31">
        <w:rPr>
          <w:sz w:val="22"/>
          <w:szCs w:val="22"/>
        </w:rPr>
        <w:t xml:space="preserve">. </w:t>
      </w:r>
    </w:p>
    <w:p w14:paraId="2D360AB4" w14:textId="77777777" w:rsidR="004D73A4" w:rsidRPr="004D73A4" w:rsidRDefault="004D73A4" w:rsidP="004D73A4">
      <w:pPr>
        <w:spacing w:after="120" w:line="300" w:lineRule="atLeast"/>
        <w:rPr>
          <w:sz w:val="22"/>
          <w:szCs w:val="22"/>
        </w:rPr>
      </w:pPr>
      <w:r w:rsidRPr="004D73A4">
        <w:rPr>
          <w:sz w:val="22"/>
          <w:szCs w:val="22"/>
        </w:rPr>
        <w:t>The assumptions on real GDP growth are based on:</w:t>
      </w:r>
    </w:p>
    <w:p w14:paraId="0D455BE8" w14:textId="72FDA88B" w:rsidR="004D73A4" w:rsidRPr="004D73A4" w:rsidRDefault="004D73A4" w:rsidP="00DD3F8B">
      <w:pPr>
        <w:pStyle w:val="ListParagraph"/>
        <w:numPr>
          <w:ilvl w:val="0"/>
          <w:numId w:val="26"/>
        </w:numPr>
        <w:spacing w:after="120" w:line="300" w:lineRule="atLeast"/>
        <w:rPr>
          <w:rFonts w:ascii="Times New Roman" w:hAnsi="Times New Roman"/>
        </w:rPr>
      </w:pPr>
      <w:r w:rsidRPr="3EF526FB">
        <w:rPr>
          <w:rFonts w:ascii="Times New Roman" w:hAnsi="Times New Roman"/>
        </w:rPr>
        <w:t>for the years up to 202</w:t>
      </w:r>
      <w:r w:rsidR="001D148E" w:rsidRPr="3EF526FB">
        <w:rPr>
          <w:rFonts w:ascii="Times New Roman" w:hAnsi="Times New Roman"/>
        </w:rPr>
        <w:t>5</w:t>
      </w:r>
      <w:r w:rsidRPr="3EF526FB">
        <w:rPr>
          <w:rFonts w:ascii="Times New Roman" w:hAnsi="Times New Roman"/>
        </w:rPr>
        <w:t>: the latest economic and budgetary projections from DG ECFIN (</w:t>
      </w:r>
      <w:r w:rsidR="00B70695" w:rsidRPr="3EF526FB">
        <w:rPr>
          <w:rFonts w:ascii="Times New Roman" w:hAnsi="Times New Roman"/>
        </w:rPr>
        <w:t>Winter</w:t>
      </w:r>
      <w:r w:rsidR="001D148E" w:rsidRPr="3EF526FB">
        <w:rPr>
          <w:rFonts w:ascii="Times New Roman" w:hAnsi="Times New Roman"/>
        </w:rPr>
        <w:t xml:space="preserve"> </w:t>
      </w:r>
      <w:r w:rsidRPr="3EF526FB">
        <w:rPr>
          <w:rFonts w:ascii="Times New Roman" w:hAnsi="Times New Roman"/>
        </w:rPr>
        <w:t>202</w:t>
      </w:r>
      <w:r w:rsidR="00B70695" w:rsidRPr="3EF526FB">
        <w:rPr>
          <w:rFonts w:ascii="Times New Roman" w:hAnsi="Times New Roman"/>
        </w:rPr>
        <w:t>4</w:t>
      </w:r>
      <w:r w:rsidRPr="3EF526FB">
        <w:rPr>
          <w:rFonts w:ascii="Times New Roman" w:hAnsi="Times New Roman"/>
        </w:rPr>
        <w:t xml:space="preserve"> European Economic Forecast), </w:t>
      </w:r>
    </w:p>
    <w:p w14:paraId="38E395D1" w14:textId="153988E4" w:rsidR="004D73A4" w:rsidRDefault="004D73A4" w:rsidP="00DD3F8B">
      <w:pPr>
        <w:pStyle w:val="ListParagraph"/>
        <w:numPr>
          <w:ilvl w:val="0"/>
          <w:numId w:val="26"/>
        </w:numPr>
        <w:spacing w:after="120" w:line="300" w:lineRule="atLeast"/>
        <w:rPr>
          <w:rFonts w:ascii="Times New Roman" w:hAnsi="Times New Roman"/>
        </w:rPr>
      </w:pPr>
      <w:r w:rsidRPr="004D73A4">
        <w:rPr>
          <w:rFonts w:ascii="Times New Roman" w:hAnsi="Times New Roman"/>
        </w:rPr>
        <w:t>from 202</w:t>
      </w:r>
      <w:r w:rsidR="00A515DC">
        <w:rPr>
          <w:rFonts w:ascii="Times New Roman" w:hAnsi="Times New Roman"/>
        </w:rPr>
        <w:t>6</w:t>
      </w:r>
      <w:r w:rsidRPr="004D73A4">
        <w:rPr>
          <w:rFonts w:ascii="Times New Roman" w:hAnsi="Times New Roman"/>
        </w:rPr>
        <w:t xml:space="preserve"> onward the values </w:t>
      </w:r>
      <w:r w:rsidR="001C79FC">
        <w:rPr>
          <w:rFonts w:ascii="Times New Roman" w:hAnsi="Times New Roman"/>
        </w:rPr>
        <w:t xml:space="preserve">used </w:t>
      </w:r>
      <w:r w:rsidR="00024110">
        <w:rPr>
          <w:rFonts w:ascii="Times New Roman" w:hAnsi="Times New Roman"/>
        </w:rPr>
        <w:t>in the 2024</w:t>
      </w:r>
      <w:r w:rsidRPr="004D73A4">
        <w:rPr>
          <w:rFonts w:ascii="Times New Roman" w:hAnsi="Times New Roman"/>
        </w:rPr>
        <w:t xml:space="preserve"> Ageing Report. </w:t>
      </w:r>
    </w:p>
    <w:p w14:paraId="0DF75828" w14:textId="77777777" w:rsidR="00016F6F" w:rsidRPr="004D73A4" w:rsidRDefault="00016F6F" w:rsidP="00016F6F">
      <w:pPr>
        <w:pStyle w:val="ListParagraph"/>
        <w:spacing w:after="120" w:line="300" w:lineRule="atLeast"/>
        <w:rPr>
          <w:rFonts w:ascii="Times New Roman" w:hAnsi="Times New Roman"/>
        </w:rPr>
      </w:pPr>
    </w:p>
    <w:p w14:paraId="1D7EDEDE" w14:textId="46E42F36" w:rsidR="00E81BA3" w:rsidRPr="00DD0793" w:rsidRDefault="00016F6F" w:rsidP="00C37AF8">
      <w:pPr>
        <w:jc w:val="both"/>
        <w:rPr>
          <w:b/>
          <w:sz w:val="22"/>
          <w:szCs w:val="22"/>
        </w:rPr>
      </w:pPr>
      <w:r>
        <w:rPr>
          <w:sz w:val="22"/>
          <w:szCs w:val="22"/>
        </w:rPr>
        <w:br w:type="page"/>
      </w:r>
      <w:r w:rsidR="00334AAA" w:rsidRPr="00262EB0">
        <w:rPr>
          <w:b/>
          <w:sz w:val="28"/>
          <w:szCs w:val="28"/>
        </w:rPr>
        <w:lastRenderedPageBreak/>
        <w:t xml:space="preserve">Annex </w:t>
      </w:r>
      <w:r w:rsidR="00953C23" w:rsidRPr="00262EB0">
        <w:rPr>
          <w:b/>
          <w:sz w:val="28"/>
          <w:szCs w:val="28"/>
        </w:rPr>
        <w:t>I</w:t>
      </w:r>
      <w:r w:rsidR="00334AAA" w:rsidRPr="00262EB0">
        <w:rPr>
          <w:b/>
          <w:sz w:val="28"/>
          <w:szCs w:val="28"/>
        </w:rPr>
        <w:t xml:space="preserve">: </w:t>
      </w:r>
      <w:r w:rsidR="00E81BA3" w:rsidRPr="00262EB0">
        <w:rPr>
          <w:b/>
          <w:sz w:val="28"/>
          <w:szCs w:val="28"/>
        </w:rPr>
        <w:t>Recommended harmonised values for key supra-nationally determined parameters</w:t>
      </w:r>
    </w:p>
    <w:p w14:paraId="2738A1CC" w14:textId="77777777" w:rsidR="00E81BA3" w:rsidRDefault="00E81BA3" w:rsidP="00C37AF8">
      <w:pPr>
        <w:jc w:val="both"/>
        <w:rPr>
          <w:b/>
          <w:sz w:val="22"/>
          <w:szCs w:val="22"/>
        </w:rPr>
      </w:pPr>
    </w:p>
    <w:p w14:paraId="42A3DCF6" w14:textId="77777777" w:rsidR="004D73A4" w:rsidRDefault="004D73A4" w:rsidP="004D73A4">
      <w:pPr>
        <w:rPr>
          <w:b/>
          <w:u w:val="single"/>
        </w:rPr>
      </w:pPr>
      <w:r w:rsidRPr="004D73A4">
        <w:rPr>
          <w:b/>
          <w:u w:val="single"/>
        </w:rPr>
        <w:t>International oil, gas and coal fuel import prices</w:t>
      </w:r>
    </w:p>
    <w:p w14:paraId="236098A5" w14:textId="77777777" w:rsidR="004D73A4" w:rsidRPr="004D73A4" w:rsidRDefault="004D73A4" w:rsidP="004D73A4">
      <w:pPr>
        <w:rPr>
          <w:b/>
          <w:sz w:val="22"/>
          <w:szCs w:val="22"/>
          <w:u w:val="single"/>
          <w:lang w:eastAsia="en-US"/>
        </w:rPr>
      </w:pPr>
    </w:p>
    <w:p w14:paraId="4BCCAC29" w14:textId="070A5E17" w:rsidR="004D73A4" w:rsidRPr="00AC4210" w:rsidRDefault="004D73A4" w:rsidP="004D73A4">
      <w:pPr>
        <w:jc w:val="both"/>
        <w:rPr>
          <w:sz w:val="22"/>
          <w:szCs w:val="22"/>
        </w:rPr>
      </w:pPr>
      <w:r w:rsidRPr="00AC4210">
        <w:rPr>
          <w:sz w:val="22"/>
          <w:szCs w:val="22"/>
        </w:rPr>
        <w:fldChar w:fldCharType="begin"/>
      </w:r>
      <w:r w:rsidRPr="00AC4210">
        <w:rPr>
          <w:sz w:val="22"/>
          <w:szCs w:val="22"/>
        </w:rPr>
        <w:instrText xml:space="preserve"> REF _Ref95751625 \h  \* MERGEFORMAT </w:instrText>
      </w:r>
      <w:r w:rsidRPr="00AC4210">
        <w:rPr>
          <w:sz w:val="22"/>
          <w:szCs w:val="22"/>
        </w:rPr>
      </w:r>
      <w:r w:rsidRPr="00AC4210">
        <w:rPr>
          <w:sz w:val="22"/>
          <w:szCs w:val="22"/>
        </w:rPr>
        <w:fldChar w:fldCharType="separate"/>
      </w:r>
      <w:r w:rsidR="000953ED" w:rsidRPr="000953ED">
        <w:rPr>
          <w:rFonts w:eastAsia="Calibri"/>
          <w:sz w:val="22"/>
          <w:szCs w:val="22"/>
          <w:lang w:val="en-US"/>
        </w:rPr>
        <w:t xml:space="preserve">Table </w:t>
      </w:r>
      <w:r w:rsidR="000953ED" w:rsidRPr="000953ED">
        <w:rPr>
          <w:rFonts w:eastAsia="Calibri"/>
          <w:noProof/>
          <w:sz w:val="22"/>
          <w:szCs w:val="22"/>
          <w:lang w:val="en-US"/>
        </w:rPr>
        <w:t>1</w:t>
      </w:r>
      <w:r w:rsidRPr="00AC4210">
        <w:rPr>
          <w:sz w:val="22"/>
          <w:szCs w:val="22"/>
        </w:rPr>
        <w:fldChar w:fldCharType="end"/>
      </w:r>
      <w:r w:rsidRPr="00AC4210">
        <w:rPr>
          <w:sz w:val="22"/>
          <w:szCs w:val="22"/>
        </w:rPr>
        <w:t xml:space="preserve"> shows the proposed central harmonised trajectories for oil, </w:t>
      </w:r>
      <w:r w:rsidR="00CB107A" w:rsidRPr="00AC4210">
        <w:rPr>
          <w:sz w:val="22"/>
          <w:szCs w:val="22"/>
        </w:rPr>
        <w:t>gas,</w:t>
      </w:r>
      <w:r w:rsidRPr="00AC4210">
        <w:rPr>
          <w:sz w:val="22"/>
          <w:szCs w:val="22"/>
        </w:rPr>
        <w:t xml:space="preserve"> and coal fuel international prices. </w:t>
      </w:r>
    </w:p>
    <w:p w14:paraId="05F57FE8" w14:textId="77777777" w:rsidR="004D73A4" w:rsidRPr="004D73A4" w:rsidRDefault="004D73A4" w:rsidP="004D73A4"/>
    <w:p w14:paraId="3638A70C" w14:textId="7F57FEB1" w:rsidR="004D73A4" w:rsidRDefault="004D73A4" w:rsidP="004D73A4">
      <w:pPr>
        <w:pStyle w:val="Caption"/>
        <w:rPr>
          <w:rFonts w:ascii="Times New Roman" w:hAnsi="Times New Roman"/>
          <w:lang w:val="en-US"/>
        </w:rPr>
      </w:pPr>
      <w:bookmarkStart w:id="1" w:name="_Ref95751625"/>
      <w:r w:rsidRPr="004D73A4">
        <w:rPr>
          <w:rFonts w:ascii="Times New Roman" w:hAnsi="Times New Roman"/>
        </w:rPr>
        <w:t xml:space="preserve">Table </w:t>
      </w:r>
      <w:r w:rsidRPr="004D73A4">
        <w:rPr>
          <w:rFonts w:ascii="Times New Roman" w:hAnsi="Times New Roman"/>
        </w:rPr>
        <w:fldChar w:fldCharType="begin"/>
      </w:r>
      <w:r w:rsidRPr="004D73A4">
        <w:rPr>
          <w:rFonts w:ascii="Times New Roman" w:hAnsi="Times New Roman"/>
        </w:rPr>
        <w:instrText xml:space="preserve"> SEQ Table \* ARABIC </w:instrText>
      </w:r>
      <w:r w:rsidRPr="004D73A4">
        <w:rPr>
          <w:rFonts w:ascii="Times New Roman" w:hAnsi="Times New Roman"/>
        </w:rPr>
        <w:fldChar w:fldCharType="separate"/>
      </w:r>
      <w:r w:rsidR="00351A98">
        <w:rPr>
          <w:rFonts w:ascii="Times New Roman" w:hAnsi="Times New Roman"/>
          <w:noProof/>
        </w:rPr>
        <w:t>1</w:t>
      </w:r>
      <w:r w:rsidRPr="004D73A4">
        <w:rPr>
          <w:rFonts w:ascii="Times New Roman" w:hAnsi="Times New Roman"/>
        </w:rPr>
        <w:fldChar w:fldCharType="end"/>
      </w:r>
      <w:bookmarkEnd w:id="1"/>
      <w:r w:rsidRPr="004D73A4">
        <w:rPr>
          <w:rFonts w:ascii="Times New Roman" w:hAnsi="Times New Roman"/>
        </w:rPr>
        <w:t xml:space="preserve">. Proposed </w:t>
      </w:r>
      <w:r w:rsidR="00262EB0" w:rsidRPr="00CB107A">
        <w:rPr>
          <w:rFonts w:ascii="Times New Roman" w:hAnsi="Times New Roman"/>
          <w:lang w:val="en-IE"/>
        </w:rPr>
        <w:t>h</w:t>
      </w:r>
      <w:r w:rsidRPr="00CB107A">
        <w:rPr>
          <w:rFonts w:ascii="Times New Roman" w:hAnsi="Times New Roman"/>
          <w:lang w:val="en-IE"/>
        </w:rPr>
        <w:t>armonised</w:t>
      </w:r>
      <w:r w:rsidRPr="004D73A4">
        <w:rPr>
          <w:rFonts w:ascii="Times New Roman" w:hAnsi="Times New Roman"/>
          <w:lang w:val="en-US"/>
        </w:rPr>
        <w:t xml:space="preserve"> central trajectories for international fuel prices (EUR20</w:t>
      </w:r>
      <w:r w:rsidR="00EA6879">
        <w:rPr>
          <w:rFonts w:ascii="Times New Roman" w:hAnsi="Times New Roman"/>
          <w:lang w:val="en-US"/>
        </w:rPr>
        <w:t>2</w:t>
      </w:r>
      <w:r w:rsidR="0090397A">
        <w:rPr>
          <w:rFonts w:ascii="Times New Roman" w:hAnsi="Times New Roman"/>
          <w:lang w:val="en-US"/>
        </w:rPr>
        <w:t>3</w:t>
      </w:r>
      <w:r w:rsidRPr="004D73A4">
        <w:rPr>
          <w:rFonts w:ascii="Times New Roman" w:hAnsi="Times New Roman"/>
          <w:lang w:val="en-US"/>
        </w:rPr>
        <w:t>)</w:t>
      </w:r>
    </w:p>
    <w:tbl>
      <w:tblPr>
        <w:tblW w:w="7996" w:type="dxa"/>
        <w:tblInd w:w="118" w:type="dxa"/>
        <w:tblLook w:val="04A0" w:firstRow="1" w:lastRow="0" w:firstColumn="1" w:lastColumn="0" w:noHBand="0" w:noVBand="1"/>
      </w:tblPr>
      <w:tblGrid>
        <w:gridCol w:w="1176"/>
        <w:gridCol w:w="925"/>
        <w:gridCol w:w="975"/>
        <w:gridCol w:w="1080"/>
        <w:gridCol w:w="934"/>
        <w:gridCol w:w="986"/>
        <w:gridCol w:w="934"/>
        <w:gridCol w:w="986"/>
      </w:tblGrid>
      <w:tr w:rsidR="00285F37" w14:paraId="0E70D5BC" w14:textId="77777777">
        <w:trPr>
          <w:trHeight w:val="330"/>
        </w:trPr>
        <w:tc>
          <w:tcPr>
            <w:tcW w:w="11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B43E30F" w14:textId="77777777" w:rsidR="00285F37" w:rsidRDefault="00285F37" w:rsidP="00732F97">
            <w:pPr>
              <w:rPr>
                <w:color w:val="000000"/>
                <w:lang w:eastAsia="en-IE"/>
              </w:rPr>
            </w:pPr>
            <w:r>
              <w:rPr>
                <w:color w:val="000000"/>
              </w:rPr>
              <w:t>EUR2023</w:t>
            </w:r>
          </w:p>
        </w:tc>
        <w:tc>
          <w:tcPr>
            <w:tcW w:w="2980"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66AAFAE" w14:textId="77777777" w:rsidR="00285F37" w:rsidRDefault="00285F37" w:rsidP="00732F97">
            <w:pPr>
              <w:jc w:val="center"/>
              <w:rPr>
                <w:color w:val="000000"/>
              </w:rPr>
            </w:pPr>
            <w:r>
              <w:rPr>
                <w:color w:val="000000"/>
              </w:rPr>
              <w:t>Oil</w:t>
            </w:r>
          </w:p>
        </w:tc>
        <w:tc>
          <w:tcPr>
            <w:tcW w:w="19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5E2A284" w14:textId="77777777" w:rsidR="00285F37" w:rsidRDefault="00285F37" w:rsidP="00732F97">
            <w:pPr>
              <w:jc w:val="center"/>
              <w:rPr>
                <w:color w:val="000000"/>
              </w:rPr>
            </w:pPr>
            <w:r>
              <w:rPr>
                <w:color w:val="000000"/>
              </w:rPr>
              <w:t>Gas (NCV)</w:t>
            </w:r>
          </w:p>
        </w:tc>
        <w:tc>
          <w:tcPr>
            <w:tcW w:w="19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28188FC" w14:textId="77777777" w:rsidR="00285F37" w:rsidRDefault="00285F37" w:rsidP="00732F97">
            <w:pPr>
              <w:jc w:val="center"/>
              <w:rPr>
                <w:color w:val="000000"/>
              </w:rPr>
            </w:pPr>
            <w:r>
              <w:rPr>
                <w:color w:val="000000"/>
              </w:rPr>
              <w:t>Coal</w:t>
            </w:r>
          </w:p>
        </w:tc>
      </w:tr>
      <w:tr w:rsidR="00285F37" w14:paraId="10F1BFBC" w14:textId="77777777" w:rsidTr="7AB80D22">
        <w:trPr>
          <w:trHeight w:val="330"/>
        </w:trPr>
        <w:tc>
          <w:tcPr>
            <w:tcW w:w="1176" w:type="dxa"/>
            <w:vMerge/>
            <w:vAlign w:val="center"/>
            <w:hideMark/>
          </w:tcPr>
          <w:p w14:paraId="19C44AE4" w14:textId="77777777" w:rsidR="00285F37" w:rsidRDefault="00285F37" w:rsidP="00732F97">
            <w:pPr>
              <w:rPr>
                <w:color w:val="000000"/>
              </w:rPr>
            </w:pPr>
          </w:p>
        </w:tc>
        <w:tc>
          <w:tcPr>
            <w:tcW w:w="925" w:type="dxa"/>
            <w:tcBorders>
              <w:top w:val="nil"/>
              <w:left w:val="nil"/>
              <w:bottom w:val="single" w:sz="8" w:space="0" w:color="auto"/>
              <w:right w:val="single" w:sz="8" w:space="0" w:color="auto"/>
            </w:tcBorders>
            <w:shd w:val="clear" w:color="auto" w:fill="auto"/>
            <w:noWrap/>
            <w:vAlign w:val="center"/>
            <w:hideMark/>
          </w:tcPr>
          <w:p w14:paraId="1A79CC25" w14:textId="77777777" w:rsidR="00285F37" w:rsidRDefault="00285F37" w:rsidP="00732F97">
            <w:pPr>
              <w:rPr>
                <w:color w:val="000000"/>
              </w:rPr>
            </w:pPr>
            <w:r>
              <w:rPr>
                <w:color w:val="000000"/>
              </w:rPr>
              <w:t>€/GJ</w:t>
            </w:r>
          </w:p>
        </w:tc>
        <w:tc>
          <w:tcPr>
            <w:tcW w:w="975" w:type="dxa"/>
            <w:tcBorders>
              <w:top w:val="nil"/>
              <w:left w:val="nil"/>
              <w:bottom w:val="single" w:sz="8" w:space="0" w:color="auto"/>
              <w:right w:val="single" w:sz="8" w:space="0" w:color="auto"/>
            </w:tcBorders>
            <w:shd w:val="clear" w:color="auto" w:fill="auto"/>
            <w:noWrap/>
            <w:vAlign w:val="center"/>
            <w:hideMark/>
          </w:tcPr>
          <w:p w14:paraId="4D996D93" w14:textId="77777777" w:rsidR="00285F37" w:rsidRDefault="00285F37" w:rsidP="00732F97">
            <w:pPr>
              <w:rPr>
                <w:color w:val="000000"/>
              </w:rPr>
            </w:pPr>
            <w:r>
              <w:rPr>
                <w:color w:val="000000"/>
              </w:rPr>
              <w:t>€/toe</w:t>
            </w:r>
          </w:p>
        </w:tc>
        <w:tc>
          <w:tcPr>
            <w:tcW w:w="1080" w:type="dxa"/>
            <w:tcBorders>
              <w:top w:val="nil"/>
              <w:left w:val="nil"/>
              <w:bottom w:val="single" w:sz="8" w:space="0" w:color="auto"/>
              <w:right w:val="single" w:sz="8" w:space="0" w:color="auto"/>
            </w:tcBorders>
            <w:shd w:val="clear" w:color="auto" w:fill="auto"/>
            <w:noWrap/>
            <w:vAlign w:val="center"/>
            <w:hideMark/>
          </w:tcPr>
          <w:p w14:paraId="120D7AD8" w14:textId="77777777" w:rsidR="00285F37" w:rsidRDefault="00285F37" w:rsidP="00732F97">
            <w:pPr>
              <w:rPr>
                <w:color w:val="000000"/>
              </w:rPr>
            </w:pPr>
            <w:r>
              <w:rPr>
                <w:color w:val="000000"/>
              </w:rPr>
              <w:t>€/</w:t>
            </w:r>
            <w:proofErr w:type="spellStart"/>
            <w:r>
              <w:rPr>
                <w:color w:val="000000"/>
              </w:rPr>
              <w:t>boe</w:t>
            </w:r>
            <w:proofErr w:type="spellEnd"/>
          </w:p>
        </w:tc>
        <w:tc>
          <w:tcPr>
            <w:tcW w:w="934" w:type="dxa"/>
            <w:tcBorders>
              <w:top w:val="nil"/>
              <w:left w:val="nil"/>
              <w:bottom w:val="single" w:sz="8" w:space="0" w:color="auto"/>
              <w:right w:val="single" w:sz="8" w:space="0" w:color="auto"/>
            </w:tcBorders>
            <w:shd w:val="clear" w:color="auto" w:fill="auto"/>
            <w:noWrap/>
            <w:vAlign w:val="center"/>
            <w:hideMark/>
          </w:tcPr>
          <w:p w14:paraId="2A2E6D2A" w14:textId="77777777" w:rsidR="00285F37" w:rsidRDefault="00285F37" w:rsidP="00732F97">
            <w:pPr>
              <w:rPr>
                <w:color w:val="000000"/>
              </w:rPr>
            </w:pPr>
            <w:r>
              <w:rPr>
                <w:color w:val="000000"/>
              </w:rPr>
              <w:t>€/GJ</w:t>
            </w:r>
          </w:p>
        </w:tc>
        <w:tc>
          <w:tcPr>
            <w:tcW w:w="986" w:type="dxa"/>
            <w:tcBorders>
              <w:top w:val="nil"/>
              <w:left w:val="nil"/>
              <w:bottom w:val="single" w:sz="8" w:space="0" w:color="auto"/>
              <w:right w:val="single" w:sz="8" w:space="0" w:color="auto"/>
            </w:tcBorders>
            <w:shd w:val="clear" w:color="auto" w:fill="auto"/>
            <w:noWrap/>
            <w:vAlign w:val="center"/>
            <w:hideMark/>
          </w:tcPr>
          <w:p w14:paraId="521E9CAE" w14:textId="77777777" w:rsidR="00285F37" w:rsidRDefault="00285F37" w:rsidP="00732F97">
            <w:pPr>
              <w:rPr>
                <w:color w:val="000000"/>
              </w:rPr>
            </w:pPr>
            <w:r>
              <w:rPr>
                <w:color w:val="000000"/>
              </w:rPr>
              <w:t>€/toe</w:t>
            </w:r>
          </w:p>
        </w:tc>
        <w:tc>
          <w:tcPr>
            <w:tcW w:w="934" w:type="dxa"/>
            <w:tcBorders>
              <w:top w:val="nil"/>
              <w:left w:val="nil"/>
              <w:bottom w:val="single" w:sz="8" w:space="0" w:color="auto"/>
              <w:right w:val="single" w:sz="8" w:space="0" w:color="auto"/>
            </w:tcBorders>
            <w:shd w:val="clear" w:color="auto" w:fill="auto"/>
            <w:noWrap/>
            <w:vAlign w:val="center"/>
            <w:hideMark/>
          </w:tcPr>
          <w:p w14:paraId="7B6D906E" w14:textId="77777777" w:rsidR="00285F37" w:rsidRDefault="00285F37" w:rsidP="00732F97">
            <w:pPr>
              <w:rPr>
                <w:color w:val="000000"/>
              </w:rPr>
            </w:pPr>
            <w:r>
              <w:rPr>
                <w:color w:val="000000"/>
              </w:rPr>
              <w:t>€/GJ</w:t>
            </w:r>
          </w:p>
        </w:tc>
        <w:tc>
          <w:tcPr>
            <w:tcW w:w="986" w:type="dxa"/>
            <w:tcBorders>
              <w:top w:val="nil"/>
              <w:left w:val="nil"/>
              <w:bottom w:val="single" w:sz="8" w:space="0" w:color="auto"/>
              <w:right w:val="single" w:sz="8" w:space="0" w:color="auto"/>
            </w:tcBorders>
            <w:shd w:val="clear" w:color="auto" w:fill="auto"/>
            <w:noWrap/>
            <w:vAlign w:val="center"/>
            <w:hideMark/>
          </w:tcPr>
          <w:p w14:paraId="354AC845" w14:textId="77777777" w:rsidR="00285F37" w:rsidRDefault="00285F37" w:rsidP="00732F97">
            <w:pPr>
              <w:rPr>
                <w:color w:val="000000"/>
              </w:rPr>
            </w:pPr>
            <w:r>
              <w:rPr>
                <w:color w:val="000000"/>
              </w:rPr>
              <w:t>€/toe</w:t>
            </w:r>
          </w:p>
        </w:tc>
      </w:tr>
      <w:tr w:rsidR="00285F37" w14:paraId="07A84960"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25553969" w14:textId="77777777" w:rsidR="00285F37" w:rsidRDefault="00285F37" w:rsidP="00732F97">
            <w:pPr>
              <w:jc w:val="right"/>
              <w:rPr>
                <w:color w:val="000000"/>
              </w:rPr>
            </w:pPr>
            <w:r>
              <w:rPr>
                <w:color w:val="000000"/>
              </w:rPr>
              <w:t>2018*</w:t>
            </w:r>
          </w:p>
        </w:tc>
        <w:tc>
          <w:tcPr>
            <w:tcW w:w="925" w:type="dxa"/>
            <w:tcBorders>
              <w:top w:val="nil"/>
              <w:left w:val="nil"/>
              <w:bottom w:val="single" w:sz="8" w:space="0" w:color="auto"/>
              <w:right w:val="single" w:sz="8" w:space="0" w:color="auto"/>
            </w:tcBorders>
            <w:shd w:val="clear" w:color="auto" w:fill="auto"/>
            <w:noWrap/>
            <w:vAlign w:val="center"/>
            <w:hideMark/>
          </w:tcPr>
          <w:p w14:paraId="518827C4" w14:textId="77777777" w:rsidR="00285F37" w:rsidRDefault="00285F37" w:rsidP="00732F97">
            <w:pPr>
              <w:jc w:val="right"/>
              <w:rPr>
                <w:color w:val="000000"/>
              </w:rPr>
            </w:pPr>
            <w:r>
              <w:rPr>
                <w:color w:val="000000"/>
              </w:rPr>
              <w:t>13</w:t>
            </w:r>
          </w:p>
        </w:tc>
        <w:tc>
          <w:tcPr>
            <w:tcW w:w="975" w:type="dxa"/>
            <w:tcBorders>
              <w:top w:val="nil"/>
              <w:left w:val="nil"/>
              <w:bottom w:val="single" w:sz="8" w:space="0" w:color="auto"/>
              <w:right w:val="single" w:sz="8" w:space="0" w:color="auto"/>
            </w:tcBorders>
            <w:shd w:val="clear" w:color="auto" w:fill="auto"/>
            <w:noWrap/>
            <w:vAlign w:val="center"/>
            <w:hideMark/>
          </w:tcPr>
          <w:p w14:paraId="6F6A7400" w14:textId="77777777" w:rsidR="00285F37" w:rsidRDefault="00285F37" w:rsidP="00732F97">
            <w:pPr>
              <w:jc w:val="right"/>
              <w:rPr>
                <w:color w:val="000000"/>
              </w:rPr>
            </w:pPr>
            <w:r>
              <w:rPr>
                <w:color w:val="000000"/>
              </w:rPr>
              <w:t>543</w:t>
            </w:r>
          </w:p>
        </w:tc>
        <w:tc>
          <w:tcPr>
            <w:tcW w:w="1080" w:type="dxa"/>
            <w:tcBorders>
              <w:top w:val="nil"/>
              <w:left w:val="nil"/>
              <w:bottom w:val="single" w:sz="8" w:space="0" w:color="auto"/>
              <w:right w:val="single" w:sz="8" w:space="0" w:color="auto"/>
            </w:tcBorders>
            <w:shd w:val="clear" w:color="auto" w:fill="auto"/>
            <w:noWrap/>
            <w:vAlign w:val="center"/>
            <w:hideMark/>
          </w:tcPr>
          <w:p w14:paraId="61F1101F" w14:textId="77777777" w:rsidR="00285F37" w:rsidRDefault="00285F37" w:rsidP="00732F97">
            <w:pPr>
              <w:jc w:val="right"/>
              <w:rPr>
                <w:color w:val="000000"/>
              </w:rPr>
            </w:pPr>
            <w:r>
              <w:rPr>
                <w:color w:val="000000"/>
              </w:rPr>
              <w:t>74</w:t>
            </w:r>
          </w:p>
        </w:tc>
        <w:tc>
          <w:tcPr>
            <w:tcW w:w="934" w:type="dxa"/>
            <w:tcBorders>
              <w:top w:val="nil"/>
              <w:left w:val="nil"/>
              <w:bottom w:val="single" w:sz="8" w:space="0" w:color="auto"/>
              <w:right w:val="single" w:sz="8" w:space="0" w:color="auto"/>
            </w:tcBorders>
            <w:shd w:val="clear" w:color="auto" w:fill="auto"/>
            <w:noWrap/>
            <w:vAlign w:val="center"/>
            <w:hideMark/>
          </w:tcPr>
          <w:p w14:paraId="7804534B" w14:textId="13DB38E1" w:rsidR="00285F37" w:rsidRDefault="00285F37" w:rsidP="00732F97">
            <w:pPr>
              <w:jc w:val="right"/>
              <w:rPr>
                <w:color w:val="000000"/>
              </w:rPr>
            </w:pPr>
            <w:r>
              <w:rPr>
                <w:color w:val="000000"/>
              </w:rPr>
              <w:t>9</w:t>
            </w:r>
            <w:r w:rsidR="00416740">
              <w:rPr>
                <w:color w:val="000000"/>
              </w:rPr>
              <w:t>.</w:t>
            </w:r>
            <w:r>
              <w:rPr>
                <w:color w:val="000000"/>
              </w:rPr>
              <w:t>3</w:t>
            </w:r>
          </w:p>
        </w:tc>
        <w:tc>
          <w:tcPr>
            <w:tcW w:w="986" w:type="dxa"/>
            <w:tcBorders>
              <w:top w:val="nil"/>
              <w:left w:val="nil"/>
              <w:bottom w:val="single" w:sz="8" w:space="0" w:color="auto"/>
              <w:right w:val="single" w:sz="8" w:space="0" w:color="auto"/>
            </w:tcBorders>
            <w:shd w:val="clear" w:color="auto" w:fill="auto"/>
            <w:noWrap/>
            <w:vAlign w:val="center"/>
            <w:hideMark/>
          </w:tcPr>
          <w:p w14:paraId="58FC62E0" w14:textId="77777777" w:rsidR="00285F37" w:rsidRDefault="00285F37" w:rsidP="00732F97">
            <w:pPr>
              <w:jc w:val="right"/>
              <w:rPr>
                <w:color w:val="000000"/>
              </w:rPr>
            </w:pPr>
            <w:r>
              <w:rPr>
                <w:color w:val="000000"/>
              </w:rPr>
              <w:t>338</w:t>
            </w:r>
          </w:p>
        </w:tc>
        <w:tc>
          <w:tcPr>
            <w:tcW w:w="934" w:type="dxa"/>
            <w:tcBorders>
              <w:top w:val="nil"/>
              <w:left w:val="nil"/>
              <w:bottom w:val="single" w:sz="8" w:space="0" w:color="auto"/>
              <w:right w:val="single" w:sz="8" w:space="0" w:color="auto"/>
            </w:tcBorders>
            <w:shd w:val="clear" w:color="auto" w:fill="auto"/>
            <w:noWrap/>
            <w:vAlign w:val="center"/>
            <w:hideMark/>
          </w:tcPr>
          <w:p w14:paraId="656A0450" w14:textId="16002A05" w:rsidR="00285F37" w:rsidRDefault="00285F37" w:rsidP="00732F97">
            <w:pPr>
              <w:jc w:val="right"/>
              <w:rPr>
                <w:color w:val="000000"/>
              </w:rPr>
            </w:pPr>
            <w:r>
              <w:rPr>
                <w:color w:val="000000"/>
              </w:rPr>
              <w:t>3</w:t>
            </w:r>
            <w:r w:rsidR="00416740">
              <w:rPr>
                <w:color w:val="000000"/>
              </w:rPr>
              <w:t>.</w:t>
            </w:r>
            <w:r>
              <w:rPr>
                <w:color w:val="000000"/>
              </w:rPr>
              <w:t>6</w:t>
            </w:r>
          </w:p>
        </w:tc>
        <w:tc>
          <w:tcPr>
            <w:tcW w:w="986" w:type="dxa"/>
            <w:tcBorders>
              <w:top w:val="nil"/>
              <w:left w:val="nil"/>
              <w:bottom w:val="single" w:sz="8" w:space="0" w:color="auto"/>
              <w:right w:val="single" w:sz="8" w:space="0" w:color="auto"/>
            </w:tcBorders>
            <w:shd w:val="clear" w:color="auto" w:fill="auto"/>
            <w:noWrap/>
            <w:vAlign w:val="center"/>
            <w:hideMark/>
          </w:tcPr>
          <w:p w14:paraId="2F346235" w14:textId="77777777" w:rsidR="00285F37" w:rsidRDefault="00285F37" w:rsidP="00732F97">
            <w:pPr>
              <w:jc w:val="right"/>
              <w:rPr>
                <w:color w:val="000000"/>
              </w:rPr>
            </w:pPr>
            <w:r>
              <w:rPr>
                <w:color w:val="000000"/>
              </w:rPr>
              <w:t>151</w:t>
            </w:r>
          </w:p>
        </w:tc>
      </w:tr>
      <w:tr w:rsidR="00285F37" w14:paraId="15BE293D"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5E138B3D" w14:textId="77777777" w:rsidR="00285F37" w:rsidRDefault="00285F37" w:rsidP="00732F97">
            <w:pPr>
              <w:jc w:val="right"/>
              <w:rPr>
                <w:color w:val="000000"/>
              </w:rPr>
            </w:pPr>
            <w:r>
              <w:rPr>
                <w:color w:val="000000"/>
              </w:rPr>
              <w:t>2019*</w:t>
            </w:r>
          </w:p>
        </w:tc>
        <w:tc>
          <w:tcPr>
            <w:tcW w:w="925" w:type="dxa"/>
            <w:tcBorders>
              <w:top w:val="nil"/>
              <w:left w:val="nil"/>
              <w:bottom w:val="single" w:sz="8" w:space="0" w:color="auto"/>
              <w:right w:val="single" w:sz="8" w:space="0" w:color="auto"/>
            </w:tcBorders>
            <w:shd w:val="clear" w:color="auto" w:fill="auto"/>
            <w:noWrap/>
            <w:vAlign w:val="center"/>
            <w:hideMark/>
          </w:tcPr>
          <w:p w14:paraId="2ED1992C" w14:textId="27EDDE67" w:rsidR="00285F37" w:rsidRDefault="00285F37" w:rsidP="00732F97">
            <w:pPr>
              <w:jc w:val="right"/>
              <w:rPr>
                <w:color w:val="000000"/>
              </w:rPr>
            </w:pPr>
            <w:r>
              <w:rPr>
                <w:color w:val="000000"/>
              </w:rPr>
              <w:t>12</w:t>
            </w:r>
            <w:r w:rsidR="00416740">
              <w:rPr>
                <w:color w:val="000000"/>
              </w:rPr>
              <w:t>.</w:t>
            </w:r>
            <w:r w:rsidR="00D82860">
              <w:rPr>
                <w:color w:val="000000"/>
              </w:rPr>
              <w:t>1</w:t>
            </w:r>
          </w:p>
        </w:tc>
        <w:tc>
          <w:tcPr>
            <w:tcW w:w="975" w:type="dxa"/>
            <w:tcBorders>
              <w:top w:val="nil"/>
              <w:left w:val="nil"/>
              <w:bottom w:val="single" w:sz="8" w:space="0" w:color="auto"/>
              <w:right w:val="single" w:sz="8" w:space="0" w:color="auto"/>
            </w:tcBorders>
            <w:shd w:val="clear" w:color="auto" w:fill="auto"/>
            <w:noWrap/>
            <w:vAlign w:val="center"/>
            <w:hideMark/>
          </w:tcPr>
          <w:p w14:paraId="39EE0A0C" w14:textId="77777777" w:rsidR="00285F37" w:rsidRDefault="00285F37" w:rsidP="00732F97">
            <w:pPr>
              <w:jc w:val="right"/>
              <w:rPr>
                <w:color w:val="000000"/>
              </w:rPr>
            </w:pPr>
            <w:r>
              <w:rPr>
                <w:color w:val="000000"/>
              </w:rPr>
              <w:t>508</w:t>
            </w:r>
          </w:p>
        </w:tc>
        <w:tc>
          <w:tcPr>
            <w:tcW w:w="1080" w:type="dxa"/>
            <w:tcBorders>
              <w:top w:val="nil"/>
              <w:left w:val="nil"/>
              <w:bottom w:val="single" w:sz="8" w:space="0" w:color="auto"/>
              <w:right w:val="single" w:sz="8" w:space="0" w:color="auto"/>
            </w:tcBorders>
            <w:shd w:val="clear" w:color="auto" w:fill="auto"/>
            <w:noWrap/>
            <w:vAlign w:val="center"/>
            <w:hideMark/>
          </w:tcPr>
          <w:p w14:paraId="7C0438C3" w14:textId="77777777" w:rsidR="00285F37" w:rsidRDefault="00285F37" w:rsidP="00732F97">
            <w:pPr>
              <w:jc w:val="right"/>
              <w:rPr>
                <w:color w:val="000000"/>
              </w:rPr>
            </w:pPr>
            <w:r>
              <w:rPr>
                <w:color w:val="000000"/>
              </w:rPr>
              <w:t>69</w:t>
            </w:r>
          </w:p>
        </w:tc>
        <w:tc>
          <w:tcPr>
            <w:tcW w:w="934" w:type="dxa"/>
            <w:tcBorders>
              <w:top w:val="nil"/>
              <w:left w:val="nil"/>
              <w:bottom w:val="single" w:sz="8" w:space="0" w:color="auto"/>
              <w:right w:val="single" w:sz="8" w:space="0" w:color="auto"/>
            </w:tcBorders>
            <w:shd w:val="clear" w:color="auto" w:fill="auto"/>
            <w:noWrap/>
            <w:vAlign w:val="center"/>
            <w:hideMark/>
          </w:tcPr>
          <w:p w14:paraId="490278D7" w14:textId="3FF9475B" w:rsidR="00285F37" w:rsidRDefault="00285F37" w:rsidP="00732F97">
            <w:pPr>
              <w:jc w:val="right"/>
              <w:rPr>
                <w:color w:val="000000"/>
              </w:rPr>
            </w:pPr>
            <w:r>
              <w:rPr>
                <w:color w:val="000000"/>
              </w:rPr>
              <w:t>5</w:t>
            </w:r>
            <w:r w:rsidR="00416740">
              <w:rPr>
                <w:color w:val="000000"/>
              </w:rPr>
              <w:t>.</w:t>
            </w:r>
            <w:r>
              <w:rPr>
                <w:color w:val="000000"/>
              </w:rPr>
              <w:t>4</w:t>
            </w:r>
          </w:p>
        </w:tc>
        <w:tc>
          <w:tcPr>
            <w:tcW w:w="986" w:type="dxa"/>
            <w:tcBorders>
              <w:top w:val="nil"/>
              <w:left w:val="nil"/>
              <w:bottom w:val="single" w:sz="8" w:space="0" w:color="auto"/>
              <w:right w:val="single" w:sz="8" w:space="0" w:color="auto"/>
            </w:tcBorders>
            <w:shd w:val="clear" w:color="auto" w:fill="auto"/>
            <w:noWrap/>
            <w:vAlign w:val="center"/>
            <w:hideMark/>
          </w:tcPr>
          <w:p w14:paraId="7EE2AE70" w14:textId="77777777" w:rsidR="00285F37" w:rsidRDefault="00285F37" w:rsidP="00732F97">
            <w:pPr>
              <w:jc w:val="right"/>
              <w:rPr>
                <w:color w:val="000000"/>
              </w:rPr>
            </w:pPr>
            <w:r>
              <w:rPr>
                <w:color w:val="000000"/>
              </w:rPr>
              <w:t>226</w:t>
            </w:r>
          </w:p>
        </w:tc>
        <w:tc>
          <w:tcPr>
            <w:tcW w:w="934" w:type="dxa"/>
            <w:tcBorders>
              <w:top w:val="nil"/>
              <w:left w:val="nil"/>
              <w:bottom w:val="single" w:sz="8" w:space="0" w:color="auto"/>
              <w:right w:val="single" w:sz="8" w:space="0" w:color="auto"/>
            </w:tcBorders>
            <w:shd w:val="clear" w:color="auto" w:fill="auto"/>
            <w:noWrap/>
            <w:vAlign w:val="center"/>
            <w:hideMark/>
          </w:tcPr>
          <w:p w14:paraId="594AF2D3" w14:textId="1EDB99EB" w:rsidR="00285F37" w:rsidRDefault="00285F37" w:rsidP="00732F97">
            <w:pPr>
              <w:jc w:val="right"/>
              <w:rPr>
                <w:color w:val="000000"/>
              </w:rPr>
            </w:pPr>
            <w:r>
              <w:rPr>
                <w:color w:val="000000"/>
              </w:rPr>
              <w:t>2</w:t>
            </w:r>
            <w:r w:rsidR="00416740">
              <w:rPr>
                <w:color w:val="000000"/>
              </w:rPr>
              <w:t>.</w:t>
            </w:r>
            <w:r>
              <w:rPr>
                <w:color w:val="000000"/>
              </w:rPr>
              <w:t>5</w:t>
            </w:r>
          </w:p>
        </w:tc>
        <w:tc>
          <w:tcPr>
            <w:tcW w:w="986" w:type="dxa"/>
            <w:tcBorders>
              <w:top w:val="nil"/>
              <w:left w:val="nil"/>
              <w:bottom w:val="single" w:sz="8" w:space="0" w:color="auto"/>
              <w:right w:val="single" w:sz="8" w:space="0" w:color="auto"/>
            </w:tcBorders>
            <w:shd w:val="clear" w:color="auto" w:fill="auto"/>
            <w:noWrap/>
            <w:vAlign w:val="center"/>
            <w:hideMark/>
          </w:tcPr>
          <w:p w14:paraId="2B527779" w14:textId="77777777" w:rsidR="00285F37" w:rsidRDefault="00285F37" w:rsidP="00732F97">
            <w:pPr>
              <w:jc w:val="right"/>
              <w:rPr>
                <w:color w:val="000000"/>
              </w:rPr>
            </w:pPr>
            <w:r>
              <w:rPr>
                <w:color w:val="000000"/>
              </w:rPr>
              <w:t>104</w:t>
            </w:r>
          </w:p>
        </w:tc>
      </w:tr>
      <w:tr w:rsidR="00285F37" w14:paraId="41E4A43C"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3B40B931" w14:textId="77777777" w:rsidR="00285F37" w:rsidRDefault="00285F37" w:rsidP="00732F97">
            <w:pPr>
              <w:jc w:val="right"/>
              <w:rPr>
                <w:color w:val="000000"/>
              </w:rPr>
            </w:pPr>
            <w:r>
              <w:rPr>
                <w:color w:val="000000"/>
              </w:rPr>
              <w:t>2020*</w:t>
            </w:r>
          </w:p>
        </w:tc>
        <w:tc>
          <w:tcPr>
            <w:tcW w:w="925" w:type="dxa"/>
            <w:tcBorders>
              <w:top w:val="nil"/>
              <w:left w:val="nil"/>
              <w:bottom w:val="single" w:sz="8" w:space="0" w:color="auto"/>
              <w:right w:val="single" w:sz="8" w:space="0" w:color="auto"/>
            </w:tcBorders>
            <w:shd w:val="clear" w:color="auto" w:fill="auto"/>
            <w:noWrap/>
            <w:vAlign w:val="center"/>
            <w:hideMark/>
          </w:tcPr>
          <w:p w14:paraId="3D0D50D6" w14:textId="1DCD8A2C" w:rsidR="00285F37" w:rsidRDefault="00285F37" w:rsidP="00732F97">
            <w:pPr>
              <w:jc w:val="right"/>
              <w:rPr>
                <w:color w:val="000000"/>
              </w:rPr>
            </w:pPr>
            <w:r>
              <w:rPr>
                <w:color w:val="000000"/>
              </w:rPr>
              <w:t>7</w:t>
            </w:r>
            <w:r w:rsidR="00416740">
              <w:rPr>
                <w:color w:val="000000"/>
              </w:rPr>
              <w:t>.</w:t>
            </w:r>
            <w:r>
              <w:rPr>
                <w:color w:val="000000"/>
              </w:rPr>
              <w:t>6</w:t>
            </w:r>
          </w:p>
        </w:tc>
        <w:tc>
          <w:tcPr>
            <w:tcW w:w="975" w:type="dxa"/>
            <w:tcBorders>
              <w:top w:val="nil"/>
              <w:left w:val="nil"/>
              <w:bottom w:val="single" w:sz="8" w:space="0" w:color="auto"/>
              <w:right w:val="single" w:sz="8" w:space="0" w:color="auto"/>
            </w:tcBorders>
            <w:shd w:val="clear" w:color="auto" w:fill="auto"/>
            <w:noWrap/>
            <w:vAlign w:val="center"/>
            <w:hideMark/>
          </w:tcPr>
          <w:p w14:paraId="42E2F8E2" w14:textId="77777777" w:rsidR="00285F37" w:rsidRDefault="00285F37" w:rsidP="00732F97">
            <w:pPr>
              <w:jc w:val="right"/>
              <w:rPr>
                <w:color w:val="000000"/>
              </w:rPr>
            </w:pPr>
            <w:r>
              <w:rPr>
                <w:color w:val="000000"/>
              </w:rPr>
              <w:t>320</w:t>
            </w:r>
          </w:p>
        </w:tc>
        <w:tc>
          <w:tcPr>
            <w:tcW w:w="1080" w:type="dxa"/>
            <w:tcBorders>
              <w:top w:val="nil"/>
              <w:left w:val="nil"/>
              <w:bottom w:val="single" w:sz="8" w:space="0" w:color="auto"/>
              <w:right w:val="single" w:sz="8" w:space="0" w:color="auto"/>
            </w:tcBorders>
            <w:shd w:val="clear" w:color="auto" w:fill="auto"/>
            <w:noWrap/>
            <w:vAlign w:val="center"/>
            <w:hideMark/>
          </w:tcPr>
          <w:p w14:paraId="1872D976" w14:textId="77777777" w:rsidR="00285F37" w:rsidRDefault="00285F37" w:rsidP="00732F97">
            <w:pPr>
              <w:jc w:val="right"/>
              <w:rPr>
                <w:color w:val="000000"/>
              </w:rPr>
            </w:pPr>
            <w:r>
              <w:rPr>
                <w:color w:val="000000"/>
              </w:rPr>
              <w:t>44</w:t>
            </w:r>
          </w:p>
        </w:tc>
        <w:tc>
          <w:tcPr>
            <w:tcW w:w="934" w:type="dxa"/>
            <w:tcBorders>
              <w:top w:val="nil"/>
              <w:left w:val="nil"/>
              <w:bottom w:val="single" w:sz="8" w:space="0" w:color="auto"/>
              <w:right w:val="single" w:sz="8" w:space="0" w:color="auto"/>
            </w:tcBorders>
            <w:shd w:val="clear" w:color="auto" w:fill="auto"/>
            <w:noWrap/>
            <w:vAlign w:val="center"/>
            <w:hideMark/>
          </w:tcPr>
          <w:p w14:paraId="090D31CD" w14:textId="6D62ED0C" w:rsidR="00285F37" w:rsidRDefault="00285F37" w:rsidP="00732F97">
            <w:pPr>
              <w:jc w:val="right"/>
              <w:rPr>
                <w:color w:val="000000"/>
              </w:rPr>
            </w:pPr>
            <w:r>
              <w:rPr>
                <w:color w:val="000000"/>
              </w:rPr>
              <w:t>3</w:t>
            </w:r>
            <w:r w:rsidR="00416740">
              <w:rPr>
                <w:color w:val="000000"/>
              </w:rPr>
              <w:t>.</w:t>
            </w:r>
            <w:r>
              <w:rPr>
                <w:color w:val="000000"/>
              </w:rPr>
              <w:t>7</w:t>
            </w:r>
          </w:p>
        </w:tc>
        <w:tc>
          <w:tcPr>
            <w:tcW w:w="986" w:type="dxa"/>
            <w:tcBorders>
              <w:top w:val="nil"/>
              <w:left w:val="nil"/>
              <w:bottom w:val="single" w:sz="8" w:space="0" w:color="auto"/>
              <w:right w:val="single" w:sz="8" w:space="0" w:color="auto"/>
            </w:tcBorders>
            <w:shd w:val="clear" w:color="auto" w:fill="auto"/>
            <w:noWrap/>
            <w:vAlign w:val="center"/>
            <w:hideMark/>
          </w:tcPr>
          <w:p w14:paraId="5A3C4636" w14:textId="77777777" w:rsidR="00285F37" w:rsidRDefault="00285F37" w:rsidP="00732F97">
            <w:pPr>
              <w:jc w:val="right"/>
              <w:rPr>
                <w:color w:val="000000"/>
              </w:rPr>
            </w:pPr>
            <w:r>
              <w:rPr>
                <w:color w:val="000000"/>
              </w:rPr>
              <w:t>155</w:t>
            </w:r>
          </w:p>
        </w:tc>
        <w:tc>
          <w:tcPr>
            <w:tcW w:w="934" w:type="dxa"/>
            <w:tcBorders>
              <w:top w:val="nil"/>
              <w:left w:val="nil"/>
              <w:bottom w:val="single" w:sz="8" w:space="0" w:color="auto"/>
              <w:right w:val="single" w:sz="8" w:space="0" w:color="auto"/>
            </w:tcBorders>
            <w:shd w:val="clear" w:color="auto" w:fill="auto"/>
            <w:noWrap/>
            <w:vAlign w:val="center"/>
            <w:hideMark/>
          </w:tcPr>
          <w:p w14:paraId="555E5D0F" w14:textId="60A91479" w:rsidR="00285F37" w:rsidRDefault="00285F37" w:rsidP="00732F97">
            <w:pPr>
              <w:jc w:val="right"/>
              <w:rPr>
                <w:color w:val="000000"/>
              </w:rPr>
            </w:pPr>
            <w:r>
              <w:rPr>
                <w:color w:val="000000"/>
              </w:rPr>
              <w:t>1</w:t>
            </w:r>
            <w:r w:rsidR="00416740">
              <w:rPr>
                <w:color w:val="000000"/>
              </w:rPr>
              <w:t>.</w:t>
            </w:r>
            <w:r>
              <w:rPr>
                <w:color w:val="000000"/>
              </w:rPr>
              <w:t>9</w:t>
            </w:r>
          </w:p>
        </w:tc>
        <w:tc>
          <w:tcPr>
            <w:tcW w:w="986" w:type="dxa"/>
            <w:tcBorders>
              <w:top w:val="nil"/>
              <w:left w:val="nil"/>
              <w:bottom w:val="single" w:sz="8" w:space="0" w:color="auto"/>
              <w:right w:val="single" w:sz="8" w:space="0" w:color="auto"/>
            </w:tcBorders>
            <w:shd w:val="clear" w:color="auto" w:fill="auto"/>
            <w:noWrap/>
            <w:vAlign w:val="center"/>
            <w:hideMark/>
          </w:tcPr>
          <w:p w14:paraId="2024E151" w14:textId="77777777" w:rsidR="00285F37" w:rsidRDefault="00285F37" w:rsidP="00732F97">
            <w:pPr>
              <w:jc w:val="right"/>
              <w:rPr>
                <w:color w:val="000000"/>
              </w:rPr>
            </w:pPr>
            <w:r>
              <w:rPr>
                <w:color w:val="000000"/>
              </w:rPr>
              <w:t>80</w:t>
            </w:r>
          </w:p>
        </w:tc>
      </w:tr>
      <w:tr w:rsidR="00285F37" w14:paraId="4DF99443"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7B7D7A65" w14:textId="77777777" w:rsidR="00285F37" w:rsidRDefault="00285F37" w:rsidP="00732F97">
            <w:pPr>
              <w:jc w:val="right"/>
              <w:rPr>
                <w:color w:val="000000"/>
              </w:rPr>
            </w:pPr>
            <w:r>
              <w:rPr>
                <w:color w:val="000000"/>
              </w:rPr>
              <w:t>2021*</w:t>
            </w:r>
          </w:p>
        </w:tc>
        <w:tc>
          <w:tcPr>
            <w:tcW w:w="925" w:type="dxa"/>
            <w:tcBorders>
              <w:top w:val="nil"/>
              <w:left w:val="nil"/>
              <w:bottom w:val="single" w:sz="8" w:space="0" w:color="auto"/>
              <w:right w:val="single" w:sz="8" w:space="0" w:color="auto"/>
            </w:tcBorders>
            <w:shd w:val="clear" w:color="auto" w:fill="auto"/>
            <w:noWrap/>
            <w:vAlign w:val="center"/>
            <w:hideMark/>
          </w:tcPr>
          <w:p w14:paraId="17CD646A" w14:textId="3352E55C" w:rsidR="00285F37" w:rsidRDefault="00285F37" w:rsidP="00732F97">
            <w:pPr>
              <w:jc w:val="right"/>
              <w:rPr>
                <w:color w:val="000000"/>
              </w:rPr>
            </w:pPr>
            <w:r>
              <w:rPr>
                <w:color w:val="000000"/>
              </w:rPr>
              <w:t>12</w:t>
            </w:r>
            <w:r w:rsidR="00416740">
              <w:rPr>
                <w:color w:val="000000"/>
              </w:rPr>
              <w:t>.</w:t>
            </w:r>
            <w:r>
              <w:rPr>
                <w:color w:val="000000"/>
              </w:rPr>
              <w:t>5</w:t>
            </w:r>
          </w:p>
        </w:tc>
        <w:tc>
          <w:tcPr>
            <w:tcW w:w="975" w:type="dxa"/>
            <w:tcBorders>
              <w:top w:val="nil"/>
              <w:left w:val="nil"/>
              <w:bottom w:val="single" w:sz="8" w:space="0" w:color="auto"/>
              <w:right w:val="single" w:sz="8" w:space="0" w:color="auto"/>
            </w:tcBorders>
            <w:shd w:val="clear" w:color="auto" w:fill="auto"/>
            <w:noWrap/>
            <w:vAlign w:val="center"/>
            <w:hideMark/>
          </w:tcPr>
          <w:p w14:paraId="3D91E364" w14:textId="77777777" w:rsidR="00285F37" w:rsidRDefault="00285F37" w:rsidP="00732F97">
            <w:pPr>
              <w:jc w:val="right"/>
              <w:rPr>
                <w:color w:val="000000"/>
              </w:rPr>
            </w:pPr>
            <w:r>
              <w:rPr>
                <w:color w:val="000000"/>
              </w:rPr>
              <w:t>523</w:t>
            </w:r>
          </w:p>
        </w:tc>
        <w:tc>
          <w:tcPr>
            <w:tcW w:w="1080" w:type="dxa"/>
            <w:tcBorders>
              <w:top w:val="nil"/>
              <w:left w:val="nil"/>
              <w:bottom w:val="single" w:sz="8" w:space="0" w:color="auto"/>
              <w:right w:val="single" w:sz="8" w:space="0" w:color="auto"/>
            </w:tcBorders>
            <w:shd w:val="clear" w:color="auto" w:fill="auto"/>
            <w:noWrap/>
            <w:vAlign w:val="center"/>
            <w:hideMark/>
          </w:tcPr>
          <w:p w14:paraId="20CD459A" w14:textId="4626BE84" w:rsidR="00285F37" w:rsidRDefault="00285F37" w:rsidP="00732F97">
            <w:pPr>
              <w:jc w:val="right"/>
              <w:rPr>
                <w:color w:val="000000"/>
              </w:rPr>
            </w:pPr>
            <w:r>
              <w:rPr>
                <w:color w:val="000000"/>
              </w:rPr>
              <w:t>7</w:t>
            </w:r>
            <w:r w:rsidR="00D82860">
              <w:rPr>
                <w:color w:val="000000"/>
              </w:rPr>
              <w:t>1</w:t>
            </w:r>
          </w:p>
        </w:tc>
        <w:tc>
          <w:tcPr>
            <w:tcW w:w="934" w:type="dxa"/>
            <w:tcBorders>
              <w:top w:val="nil"/>
              <w:left w:val="nil"/>
              <w:bottom w:val="single" w:sz="8" w:space="0" w:color="auto"/>
              <w:right w:val="single" w:sz="8" w:space="0" w:color="auto"/>
            </w:tcBorders>
            <w:shd w:val="clear" w:color="auto" w:fill="auto"/>
            <w:noWrap/>
            <w:vAlign w:val="center"/>
            <w:hideMark/>
          </w:tcPr>
          <w:p w14:paraId="7DF3E95A" w14:textId="41004CD1" w:rsidR="00285F37" w:rsidRDefault="00285F37" w:rsidP="00732F97">
            <w:pPr>
              <w:jc w:val="right"/>
              <w:rPr>
                <w:color w:val="000000"/>
              </w:rPr>
            </w:pPr>
            <w:r>
              <w:rPr>
                <w:color w:val="000000"/>
              </w:rPr>
              <w:t>18</w:t>
            </w:r>
            <w:r w:rsidR="00416740">
              <w:rPr>
                <w:color w:val="000000"/>
              </w:rPr>
              <w:t>.</w:t>
            </w:r>
            <w:r w:rsidR="00D82860">
              <w:rPr>
                <w:color w:val="000000"/>
              </w:rPr>
              <w:t>1</w:t>
            </w:r>
          </w:p>
        </w:tc>
        <w:tc>
          <w:tcPr>
            <w:tcW w:w="986" w:type="dxa"/>
            <w:tcBorders>
              <w:top w:val="nil"/>
              <w:left w:val="nil"/>
              <w:bottom w:val="single" w:sz="8" w:space="0" w:color="auto"/>
              <w:right w:val="single" w:sz="8" w:space="0" w:color="auto"/>
            </w:tcBorders>
            <w:shd w:val="clear" w:color="auto" w:fill="auto"/>
            <w:noWrap/>
            <w:vAlign w:val="center"/>
            <w:hideMark/>
          </w:tcPr>
          <w:p w14:paraId="114C1BAF" w14:textId="77777777" w:rsidR="00285F37" w:rsidRDefault="00285F37" w:rsidP="00732F97">
            <w:pPr>
              <w:jc w:val="right"/>
              <w:rPr>
                <w:color w:val="000000"/>
              </w:rPr>
            </w:pPr>
            <w:r>
              <w:rPr>
                <w:color w:val="000000"/>
              </w:rPr>
              <w:t>758</w:t>
            </w:r>
          </w:p>
        </w:tc>
        <w:tc>
          <w:tcPr>
            <w:tcW w:w="934" w:type="dxa"/>
            <w:tcBorders>
              <w:top w:val="nil"/>
              <w:left w:val="nil"/>
              <w:bottom w:val="single" w:sz="8" w:space="0" w:color="auto"/>
              <w:right w:val="single" w:sz="8" w:space="0" w:color="auto"/>
            </w:tcBorders>
            <w:shd w:val="clear" w:color="auto" w:fill="auto"/>
            <w:noWrap/>
            <w:vAlign w:val="center"/>
            <w:hideMark/>
          </w:tcPr>
          <w:p w14:paraId="2FCEB0F6" w14:textId="7BC4B4D5" w:rsidR="00285F37" w:rsidRDefault="00285F37" w:rsidP="00732F97">
            <w:pPr>
              <w:jc w:val="right"/>
              <w:rPr>
                <w:color w:val="000000"/>
              </w:rPr>
            </w:pPr>
            <w:r>
              <w:rPr>
                <w:color w:val="000000"/>
              </w:rPr>
              <w:t>4</w:t>
            </w:r>
            <w:r w:rsidR="00416740">
              <w:rPr>
                <w:color w:val="000000"/>
              </w:rPr>
              <w:t>.</w:t>
            </w:r>
            <w:r>
              <w:rPr>
                <w:color w:val="000000"/>
              </w:rPr>
              <w:t>5</w:t>
            </w:r>
          </w:p>
        </w:tc>
        <w:tc>
          <w:tcPr>
            <w:tcW w:w="986" w:type="dxa"/>
            <w:tcBorders>
              <w:top w:val="nil"/>
              <w:left w:val="nil"/>
              <w:bottom w:val="single" w:sz="8" w:space="0" w:color="auto"/>
              <w:right w:val="single" w:sz="8" w:space="0" w:color="auto"/>
            </w:tcBorders>
            <w:shd w:val="clear" w:color="auto" w:fill="auto"/>
            <w:noWrap/>
            <w:vAlign w:val="center"/>
            <w:hideMark/>
          </w:tcPr>
          <w:p w14:paraId="2767A389" w14:textId="77777777" w:rsidR="00285F37" w:rsidRDefault="00285F37" w:rsidP="00732F97">
            <w:pPr>
              <w:jc w:val="right"/>
              <w:rPr>
                <w:color w:val="000000"/>
              </w:rPr>
            </w:pPr>
            <w:r>
              <w:rPr>
                <w:color w:val="000000"/>
              </w:rPr>
              <w:t>188</w:t>
            </w:r>
          </w:p>
        </w:tc>
      </w:tr>
      <w:tr w:rsidR="00285F37" w14:paraId="0E96E56F"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7AB9B1D7" w14:textId="77777777" w:rsidR="00285F37" w:rsidRDefault="00285F37" w:rsidP="00732F97">
            <w:pPr>
              <w:jc w:val="right"/>
              <w:rPr>
                <w:color w:val="000000"/>
              </w:rPr>
            </w:pPr>
            <w:r>
              <w:rPr>
                <w:color w:val="000000"/>
              </w:rPr>
              <w:t>2022*</w:t>
            </w:r>
          </w:p>
        </w:tc>
        <w:tc>
          <w:tcPr>
            <w:tcW w:w="925" w:type="dxa"/>
            <w:tcBorders>
              <w:top w:val="nil"/>
              <w:left w:val="nil"/>
              <w:bottom w:val="single" w:sz="8" w:space="0" w:color="auto"/>
              <w:right w:val="single" w:sz="8" w:space="0" w:color="auto"/>
            </w:tcBorders>
            <w:shd w:val="clear" w:color="auto" w:fill="auto"/>
            <w:noWrap/>
            <w:vAlign w:val="center"/>
            <w:hideMark/>
          </w:tcPr>
          <w:p w14:paraId="40E88DB3" w14:textId="723847C1" w:rsidR="00285F37" w:rsidRDefault="00285F37" w:rsidP="00732F97">
            <w:pPr>
              <w:jc w:val="right"/>
              <w:rPr>
                <w:color w:val="000000"/>
              </w:rPr>
            </w:pPr>
            <w:r>
              <w:rPr>
                <w:color w:val="000000"/>
              </w:rPr>
              <w:t>1</w:t>
            </w:r>
            <w:r w:rsidR="00DB64B6">
              <w:rPr>
                <w:color w:val="000000"/>
              </w:rPr>
              <w:t>6</w:t>
            </w:r>
            <w:r w:rsidR="00416740">
              <w:rPr>
                <w:color w:val="000000"/>
              </w:rPr>
              <w:t>.</w:t>
            </w:r>
            <w:r w:rsidR="00DB64B6">
              <w:rPr>
                <w:color w:val="000000"/>
              </w:rPr>
              <w:t>7</w:t>
            </w:r>
          </w:p>
        </w:tc>
        <w:tc>
          <w:tcPr>
            <w:tcW w:w="975" w:type="dxa"/>
            <w:tcBorders>
              <w:top w:val="nil"/>
              <w:left w:val="nil"/>
              <w:bottom w:val="single" w:sz="8" w:space="0" w:color="auto"/>
              <w:right w:val="single" w:sz="8" w:space="0" w:color="auto"/>
            </w:tcBorders>
            <w:shd w:val="clear" w:color="auto" w:fill="auto"/>
            <w:noWrap/>
            <w:vAlign w:val="center"/>
            <w:hideMark/>
          </w:tcPr>
          <w:p w14:paraId="3490EAF6" w14:textId="03D76C73" w:rsidR="00285F37" w:rsidRDefault="00285F37" w:rsidP="00732F97">
            <w:pPr>
              <w:jc w:val="right"/>
              <w:rPr>
                <w:color w:val="000000"/>
              </w:rPr>
            </w:pPr>
            <w:r>
              <w:rPr>
                <w:color w:val="000000"/>
              </w:rPr>
              <w:t>7</w:t>
            </w:r>
            <w:r w:rsidR="00DB64B6">
              <w:rPr>
                <w:color w:val="000000"/>
              </w:rPr>
              <w:t>0</w:t>
            </w:r>
            <w:r w:rsidR="00D82860">
              <w:rPr>
                <w:color w:val="000000"/>
              </w:rPr>
              <w:t>1</w:t>
            </w:r>
          </w:p>
        </w:tc>
        <w:tc>
          <w:tcPr>
            <w:tcW w:w="1080" w:type="dxa"/>
            <w:tcBorders>
              <w:top w:val="nil"/>
              <w:left w:val="nil"/>
              <w:bottom w:val="single" w:sz="8" w:space="0" w:color="auto"/>
              <w:right w:val="single" w:sz="8" w:space="0" w:color="auto"/>
            </w:tcBorders>
            <w:shd w:val="clear" w:color="auto" w:fill="auto"/>
            <w:noWrap/>
            <w:vAlign w:val="center"/>
            <w:hideMark/>
          </w:tcPr>
          <w:p w14:paraId="3692BE87" w14:textId="77777777" w:rsidR="00285F37" w:rsidRDefault="00285F37" w:rsidP="00732F97">
            <w:pPr>
              <w:jc w:val="right"/>
              <w:rPr>
                <w:color w:val="000000"/>
              </w:rPr>
            </w:pPr>
            <w:r>
              <w:rPr>
                <w:color w:val="000000"/>
              </w:rPr>
              <w:t>102</w:t>
            </w:r>
          </w:p>
        </w:tc>
        <w:tc>
          <w:tcPr>
            <w:tcW w:w="934" w:type="dxa"/>
            <w:tcBorders>
              <w:top w:val="nil"/>
              <w:left w:val="nil"/>
              <w:bottom w:val="single" w:sz="8" w:space="0" w:color="auto"/>
              <w:right w:val="single" w:sz="8" w:space="0" w:color="auto"/>
            </w:tcBorders>
            <w:shd w:val="clear" w:color="auto" w:fill="auto"/>
            <w:noWrap/>
            <w:vAlign w:val="center"/>
            <w:hideMark/>
          </w:tcPr>
          <w:p w14:paraId="36A40EBF" w14:textId="764B6483" w:rsidR="00285F37" w:rsidRDefault="00285F37" w:rsidP="00732F97">
            <w:pPr>
              <w:jc w:val="right"/>
              <w:rPr>
                <w:color w:val="000000"/>
              </w:rPr>
            </w:pPr>
            <w:r>
              <w:rPr>
                <w:color w:val="000000"/>
              </w:rPr>
              <w:t>3</w:t>
            </w:r>
            <w:r w:rsidR="003A7B60">
              <w:rPr>
                <w:color w:val="000000"/>
              </w:rPr>
              <w:t>5</w:t>
            </w:r>
            <w:r w:rsidR="00416740">
              <w:rPr>
                <w:color w:val="000000"/>
              </w:rPr>
              <w:t>.</w:t>
            </w:r>
            <w:r w:rsidR="003A7B60">
              <w:rPr>
                <w:color w:val="000000"/>
              </w:rPr>
              <w:t>1</w:t>
            </w:r>
          </w:p>
        </w:tc>
        <w:tc>
          <w:tcPr>
            <w:tcW w:w="986" w:type="dxa"/>
            <w:tcBorders>
              <w:top w:val="nil"/>
              <w:left w:val="nil"/>
              <w:bottom w:val="single" w:sz="8" w:space="0" w:color="auto"/>
              <w:right w:val="single" w:sz="8" w:space="0" w:color="auto"/>
            </w:tcBorders>
            <w:shd w:val="clear" w:color="auto" w:fill="auto"/>
            <w:noWrap/>
            <w:vAlign w:val="center"/>
            <w:hideMark/>
          </w:tcPr>
          <w:p w14:paraId="4ED676B9" w14:textId="37DB1671" w:rsidR="00285F37" w:rsidRDefault="00285F37" w:rsidP="00732F97">
            <w:pPr>
              <w:jc w:val="right"/>
              <w:rPr>
                <w:color w:val="000000"/>
              </w:rPr>
            </w:pPr>
            <w:r>
              <w:rPr>
                <w:color w:val="000000"/>
              </w:rPr>
              <w:t>1</w:t>
            </w:r>
            <w:r w:rsidR="000209CA">
              <w:rPr>
                <w:color w:val="000000"/>
              </w:rPr>
              <w:t>,</w:t>
            </w:r>
            <w:r w:rsidR="003A7B60">
              <w:rPr>
                <w:color w:val="000000"/>
              </w:rPr>
              <w:t>469</w:t>
            </w:r>
          </w:p>
        </w:tc>
        <w:tc>
          <w:tcPr>
            <w:tcW w:w="934" w:type="dxa"/>
            <w:tcBorders>
              <w:top w:val="nil"/>
              <w:left w:val="nil"/>
              <w:bottom w:val="single" w:sz="8" w:space="0" w:color="auto"/>
              <w:right w:val="single" w:sz="8" w:space="0" w:color="auto"/>
            </w:tcBorders>
            <w:shd w:val="clear" w:color="auto" w:fill="auto"/>
            <w:noWrap/>
            <w:vAlign w:val="center"/>
            <w:hideMark/>
          </w:tcPr>
          <w:p w14:paraId="14958009" w14:textId="728FAE52" w:rsidR="00285F37" w:rsidRDefault="00285F37" w:rsidP="00732F97">
            <w:pPr>
              <w:jc w:val="right"/>
              <w:rPr>
                <w:color w:val="000000"/>
              </w:rPr>
            </w:pPr>
            <w:r>
              <w:rPr>
                <w:color w:val="000000"/>
              </w:rPr>
              <w:t>10</w:t>
            </w:r>
            <w:r w:rsidR="00416740">
              <w:rPr>
                <w:color w:val="000000"/>
              </w:rPr>
              <w:t>.</w:t>
            </w:r>
            <w:r>
              <w:rPr>
                <w:color w:val="000000"/>
              </w:rPr>
              <w:t>9</w:t>
            </w:r>
          </w:p>
        </w:tc>
        <w:tc>
          <w:tcPr>
            <w:tcW w:w="986" w:type="dxa"/>
            <w:tcBorders>
              <w:top w:val="nil"/>
              <w:left w:val="nil"/>
              <w:bottom w:val="single" w:sz="8" w:space="0" w:color="auto"/>
              <w:right w:val="single" w:sz="8" w:space="0" w:color="auto"/>
            </w:tcBorders>
            <w:shd w:val="clear" w:color="auto" w:fill="auto"/>
            <w:noWrap/>
            <w:vAlign w:val="center"/>
            <w:hideMark/>
          </w:tcPr>
          <w:p w14:paraId="465D912A" w14:textId="77777777" w:rsidR="00285F37" w:rsidRDefault="00285F37" w:rsidP="00732F97">
            <w:pPr>
              <w:jc w:val="right"/>
              <w:rPr>
                <w:color w:val="000000"/>
              </w:rPr>
            </w:pPr>
            <w:r>
              <w:rPr>
                <w:color w:val="000000"/>
              </w:rPr>
              <w:t>457</w:t>
            </w:r>
          </w:p>
        </w:tc>
      </w:tr>
      <w:tr w:rsidR="00285F37" w14:paraId="28D8D58A"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4DEC7963" w14:textId="77777777" w:rsidR="00285F37" w:rsidRDefault="00285F37" w:rsidP="00732F97">
            <w:pPr>
              <w:jc w:val="right"/>
              <w:rPr>
                <w:color w:val="000000"/>
              </w:rPr>
            </w:pPr>
            <w:r>
              <w:rPr>
                <w:color w:val="000000"/>
              </w:rPr>
              <w:t>2023*</w:t>
            </w:r>
          </w:p>
        </w:tc>
        <w:tc>
          <w:tcPr>
            <w:tcW w:w="925" w:type="dxa"/>
            <w:tcBorders>
              <w:top w:val="nil"/>
              <w:left w:val="nil"/>
              <w:bottom w:val="single" w:sz="8" w:space="0" w:color="auto"/>
              <w:right w:val="single" w:sz="8" w:space="0" w:color="auto"/>
            </w:tcBorders>
            <w:shd w:val="clear" w:color="auto" w:fill="auto"/>
            <w:noWrap/>
            <w:vAlign w:val="center"/>
            <w:hideMark/>
          </w:tcPr>
          <w:p w14:paraId="03F9AF4C" w14:textId="0D580586" w:rsidR="00285F37" w:rsidRDefault="00285F37" w:rsidP="00732F97">
            <w:pPr>
              <w:jc w:val="right"/>
              <w:rPr>
                <w:color w:val="000000"/>
              </w:rPr>
            </w:pPr>
            <w:r>
              <w:rPr>
                <w:color w:val="000000"/>
              </w:rPr>
              <w:t>1</w:t>
            </w:r>
            <w:r w:rsidR="00DB64B6">
              <w:rPr>
                <w:color w:val="000000"/>
              </w:rPr>
              <w:t>2</w:t>
            </w:r>
            <w:r w:rsidR="00416740">
              <w:rPr>
                <w:color w:val="000000"/>
              </w:rPr>
              <w:t>.</w:t>
            </w:r>
            <w:r w:rsidR="00DB64B6">
              <w:rPr>
                <w:color w:val="000000"/>
              </w:rPr>
              <w:t>5</w:t>
            </w:r>
          </w:p>
        </w:tc>
        <w:tc>
          <w:tcPr>
            <w:tcW w:w="975" w:type="dxa"/>
            <w:tcBorders>
              <w:top w:val="nil"/>
              <w:left w:val="nil"/>
              <w:bottom w:val="single" w:sz="8" w:space="0" w:color="auto"/>
              <w:right w:val="single" w:sz="8" w:space="0" w:color="auto"/>
            </w:tcBorders>
            <w:shd w:val="clear" w:color="auto" w:fill="auto"/>
            <w:noWrap/>
            <w:vAlign w:val="center"/>
            <w:hideMark/>
          </w:tcPr>
          <w:p w14:paraId="1CC6B268" w14:textId="552C7C46" w:rsidR="00285F37" w:rsidRDefault="00285F37" w:rsidP="00732F97">
            <w:pPr>
              <w:jc w:val="right"/>
              <w:rPr>
                <w:color w:val="000000"/>
              </w:rPr>
            </w:pPr>
            <w:r>
              <w:rPr>
                <w:color w:val="000000"/>
              </w:rPr>
              <w:t>5</w:t>
            </w:r>
            <w:r w:rsidR="00DB64B6">
              <w:rPr>
                <w:color w:val="000000"/>
              </w:rPr>
              <w:t>23</w:t>
            </w:r>
          </w:p>
        </w:tc>
        <w:tc>
          <w:tcPr>
            <w:tcW w:w="1080" w:type="dxa"/>
            <w:tcBorders>
              <w:top w:val="nil"/>
              <w:left w:val="nil"/>
              <w:bottom w:val="single" w:sz="8" w:space="0" w:color="auto"/>
              <w:right w:val="single" w:sz="8" w:space="0" w:color="auto"/>
            </w:tcBorders>
            <w:shd w:val="clear" w:color="auto" w:fill="auto"/>
            <w:noWrap/>
            <w:vAlign w:val="center"/>
            <w:hideMark/>
          </w:tcPr>
          <w:p w14:paraId="0DB6F150" w14:textId="77777777" w:rsidR="00285F37" w:rsidRDefault="00285F37" w:rsidP="00732F97">
            <w:pPr>
              <w:jc w:val="right"/>
              <w:rPr>
                <w:color w:val="000000"/>
              </w:rPr>
            </w:pPr>
            <w:r>
              <w:rPr>
                <w:color w:val="000000"/>
              </w:rPr>
              <w:t>76</w:t>
            </w:r>
          </w:p>
        </w:tc>
        <w:tc>
          <w:tcPr>
            <w:tcW w:w="934" w:type="dxa"/>
            <w:tcBorders>
              <w:top w:val="nil"/>
              <w:left w:val="nil"/>
              <w:bottom w:val="single" w:sz="8" w:space="0" w:color="auto"/>
              <w:right w:val="single" w:sz="8" w:space="0" w:color="auto"/>
            </w:tcBorders>
            <w:shd w:val="clear" w:color="auto" w:fill="auto"/>
            <w:noWrap/>
            <w:vAlign w:val="center"/>
            <w:hideMark/>
          </w:tcPr>
          <w:p w14:paraId="3E544003" w14:textId="4A64443A" w:rsidR="00285F37" w:rsidRDefault="00285F37" w:rsidP="00732F97">
            <w:pPr>
              <w:jc w:val="right"/>
              <w:rPr>
                <w:color w:val="000000"/>
              </w:rPr>
            </w:pPr>
            <w:r>
              <w:rPr>
                <w:color w:val="000000"/>
              </w:rPr>
              <w:t>1</w:t>
            </w:r>
            <w:r w:rsidR="003A7B60">
              <w:rPr>
                <w:color w:val="000000"/>
              </w:rPr>
              <w:t>0</w:t>
            </w:r>
            <w:r w:rsidR="00416740">
              <w:rPr>
                <w:color w:val="000000"/>
              </w:rPr>
              <w:t>.</w:t>
            </w:r>
            <w:r w:rsidR="003A7B60">
              <w:rPr>
                <w:color w:val="000000"/>
              </w:rPr>
              <w:t>9</w:t>
            </w:r>
          </w:p>
        </w:tc>
        <w:tc>
          <w:tcPr>
            <w:tcW w:w="986" w:type="dxa"/>
            <w:tcBorders>
              <w:top w:val="nil"/>
              <w:left w:val="nil"/>
              <w:bottom w:val="single" w:sz="8" w:space="0" w:color="auto"/>
              <w:right w:val="single" w:sz="8" w:space="0" w:color="auto"/>
            </w:tcBorders>
            <w:shd w:val="clear" w:color="auto" w:fill="auto"/>
            <w:noWrap/>
            <w:vAlign w:val="center"/>
            <w:hideMark/>
          </w:tcPr>
          <w:p w14:paraId="4128848A" w14:textId="659E3F78" w:rsidR="00285F37" w:rsidRDefault="003A7B60" w:rsidP="00732F97">
            <w:pPr>
              <w:jc w:val="right"/>
              <w:rPr>
                <w:color w:val="000000"/>
              </w:rPr>
            </w:pPr>
            <w:r>
              <w:rPr>
                <w:color w:val="000000"/>
              </w:rPr>
              <w:t>455</w:t>
            </w:r>
          </w:p>
        </w:tc>
        <w:tc>
          <w:tcPr>
            <w:tcW w:w="934" w:type="dxa"/>
            <w:tcBorders>
              <w:top w:val="nil"/>
              <w:left w:val="nil"/>
              <w:bottom w:val="single" w:sz="8" w:space="0" w:color="auto"/>
              <w:right w:val="single" w:sz="8" w:space="0" w:color="auto"/>
            </w:tcBorders>
            <w:shd w:val="clear" w:color="auto" w:fill="auto"/>
            <w:noWrap/>
            <w:vAlign w:val="center"/>
            <w:hideMark/>
          </w:tcPr>
          <w:p w14:paraId="4A71669E" w14:textId="508E9541" w:rsidR="00285F37" w:rsidRDefault="00285F37" w:rsidP="00732F97">
            <w:pPr>
              <w:jc w:val="right"/>
              <w:rPr>
                <w:color w:val="000000"/>
              </w:rPr>
            </w:pPr>
            <w:r>
              <w:rPr>
                <w:color w:val="000000"/>
              </w:rPr>
              <w:t>4</w:t>
            </w:r>
            <w:r w:rsidR="00416740">
              <w:rPr>
                <w:color w:val="000000"/>
              </w:rPr>
              <w:t>.</w:t>
            </w:r>
            <w:r>
              <w:rPr>
                <w:color w:val="000000"/>
              </w:rPr>
              <w:t>4</w:t>
            </w:r>
          </w:p>
        </w:tc>
        <w:tc>
          <w:tcPr>
            <w:tcW w:w="986" w:type="dxa"/>
            <w:tcBorders>
              <w:top w:val="nil"/>
              <w:left w:val="nil"/>
              <w:bottom w:val="single" w:sz="8" w:space="0" w:color="auto"/>
              <w:right w:val="single" w:sz="8" w:space="0" w:color="auto"/>
            </w:tcBorders>
            <w:shd w:val="clear" w:color="auto" w:fill="auto"/>
            <w:noWrap/>
            <w:vAlign w:val="center"/>
            <w:hideMark/>
          </w:tcPr>
          <w:p w14:paraId="7B7A95FC" w14:textId="53B38331" w:rsidR="00285F37" w:rsidRDefault="00285F37" w:rsidP="00732F97">
            <w:pPr>
              <w:jc w:val="right"/>
              <w:rPr>
                <w:color w:val="000000"/>
              </w:rPr>
            </w:pPr>
            <w:r>
              <w:rPr>
                <w:color w:val="000000"/>
              </w:rPr>
              <w:t>18</w:t>
            </w:r>
            <w:r w:rsidR="00D82860">
              <w:rPr>
                <w:color w:val="000000"/>
              </w:rPr>
              <w:t>3</w:t>
            </w:r>
          </w:p>
        </w:tc>
      </w:tr>
      <w:tr w:rsidR="00B868DC" w14:paraId="2D3F6C2F"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2184E5AD" w14:textId="77777777" w:rsidR="00B868DC" w:rsidRDefault="00B868DC" w:rsidP="00B868DC">
            <w:pPr>
              <w:jc w:val="right"/>
              <w:rPr>
                <w:color w:val="000000"/>
              </w:rPr>
            </w:pPr>
            <w:r>
              <w:rPr>
                <w:color w:val="000000"/>
              </w:rPr>
              <w:t>2024</w:t>
            </w:r>
          </w:p>
        </w:tc>
        <w:tc>
          <w:tcPr>
            <w:tcW w:w="925" w:type="dxa"/>
            <w:tcBorders>
              <w:top w:val="nil"/>
              <w:left w:val="nil"/>
              <w:bottom w:val="single" w:sz="8" w:space="0" w:color="auto"/>
              <w:right w:val="single" w:sz="8" w:space="0" w:color="auto"/>
            </w:tcBorders>
            <w:shd w:val="clear" w:color="auto" w:fill="auto"/>
            <w:noWrap/>
            <w:vAlign w:val="center"/>
            <w:hideMark/>
          </w:tcPr>
          <w:p w14:paraId="026BEFD3" w14:textId="4503DA30" w:rsidR="00B868DC" w:rsidRDefault="00B868DC" w:rsidP="00B868DC">
            <w:pPr>
              <w:jc w:val="right"/>
              <w:rPr>
                <w:color w:val="000000"/>
              </w:rPr>
            </w:pPr>
            <w:r w:rsidRPr="00706E01">
              <w:rPr>
                <w:lang w:val="en-IE" w:eastAsia="en-IE"/>
              </w:rPr>
              <w:t>13</w:t>
            </w:r>
            <w:r w:rsidR="00CD06F5">
              <w:rPr>
                <w:lang w:val="en-IE" w:eastAsia="en-IE"/>
              </w:rPr>
              <w:t>.</w:t>
            </w:r>
            <w:r w:rsidRPr="00706E01">
              <w:rPr>
                <w:lang w:val="en-IE" w:eastAsia="en-IE"/>
              </w:rPr>
              <w:t>1</w:t>
            </w:r>
          </w:p>
        </w:tc>
        <w:tc>
          <w:tcPr>
            <w:tcW w:w="975" w:type="dxa"/>
            <w:tcBorders>
              <w:top w:val="nil"/>
              <w:left w:val="nil"/>
              <w:bottom w:val="single" w:sz="8" w:space="0" w:color="auto"/>
              <w:right w:val="single" w:sz="8" w:space="0" w:color="auto"/>
            </w:tcBorders>
            <w:shd w:val="clear" w:color="auto" w:fill="auto"/>
            <w:noWrap/>
            <w:vAlign w:val="center"/>
            <w:hideMark/>
          </w:tcPr>
          <w:p w14:paraId="01DC1A31" w14:textId="5D156028" w:rsidR="00B868DC" w:rsidRDefault="00B868DC" w:rsidP="00B868DC">
            <w:pPr>
              <w:jc w:val="right"/>
              <w:rPr>
                <w:color w:val="000000"/>
              </w:rPr>
            </w:pPr>
            <w:r w:rsidRPr="00706E01">
              <w:rPr>
                <w:lang w:val="en-IE" w:eastAsia="en-IE"/>
              </w:rPr>
              <w:t>547</w:t>
            </w:r>
          </w:p>
        </w:tc>
        <w:tc>
          <w:tcPr>
            <w:tcW w:w="1080" w:type="dxa"/>
            <w:tcBorders>
              <w:top w:val="nil"/>
              <w:left w:val="nil"/>
              <w:bottom w:val="single" w:sz="8" w:space="0" w:color="auto"/>
              <w:right w:val="single" w:sz="8" w:space="0" w:color="auto"/>
            </w:tcBorders>
            <w:shd w:val="clear" w:color="auto" w:fill="auto"/>
            <w:noWrap/>
            <w:vAlign w:val="center"/>
            <w:hideMark/>
          </w:tcPr>
          <w:p w14:paraId="73E5878B" w14:textId="3CBCCE63" w:rsidR="00B868DC" w:rsidRDefault="00B868DC" w:rsidP="00B868DC">
            <w:pPr>
              <w:jc w:val="right"/>
              <w:rPr>
                <w:color w:val="000000"/>
              </w:rPr>
            </w:pPr>
            <w:r w:rsidRPr="00706E01">
              <w:rPr>
                <w:lang w:val="en-IE" w:eastAsia="en-IE"/>
              </w:rPr>
              <w:t>80</w:t>
            </w:r>
          </w:p>
        </w:tc>
        <w:tc>
          <w:tcPr>
            <w:tcW w:w="934" w:type="dxa"/>
            <w:tcBorders>
              <w:top w:val="nil"/>
              <w:left w:val="nil"/>
              <w:bottom w:val="single" w:sz="8" w:space="0" w:color="auto"/>
              <w:right w:val="single" w:sz="8" w:space="0" w:color="auto"/>
            </w:tcBorders>
            <w:shd w:val="clear" w:color="auto" w:fill="auto"/>
            <w:noWrap/>
            <w:vAlign w:val="center"/>
            <w:hideMark/>
          </w:tcPr>
          <w:p w14:paraId="478DC3BF" w14:textId="569DA2A6" w:rsidR="00B868DC" w:rsidRDefault="00B868DC" w:rsidP="00B868DC">
            <w:pPr>
              <w:jc w:val="right"/>
              <w:rPr>
                <w:color w:val="000000"/>
              </w:rPr>
            </w:pPr>
            <w:r w:rsidRPr="00706E01">
              <w:rPr>
                <w:lang w:val="en-IE" w:eastAsia="en-IE"/>
              </w:rPr>
              <w:t>8</w:t>
            </w:r>
            <w:r w:rsidR="00CD06F5">
              <w:rPr>
                <w:lang w:val="en-IE" w:eastAsia="en-IE"/>
              </w:rPr>
              <w:t>.</w:t>
            </w:r>
            <w:r w:rsidRPr="00706E01">
              <w:rPr>
                <w:lang w:val="en-IE" w:eastAsia="en-IE"/>
              </w:rPr>
              <w:t>3</w:t>
            </w:r>
          </w:p>
        </w:tc>
        <w:tc>
          <w:tcPr>
            <w:tcW w:w="986" w:type="dxa"/>
            <w:tcBorders>
              <w:top w:val="nil"/>
              <w:left w:val="nil"/>
              <w:bottom w:val="single" w:sz="8" w:space="0" w:color="auto"/>
              <w:right w:val="single" w:sz="8" w:space="0" w:color="auto"/>
            </w:tcBorders>
            <w:shd w:val="clear" w:color="auto" w:fill="auto"/>
            <w:noWrap/>
            <w:vAlign w:val="center"/>
            <w:hideMark/>
          </w:tcPr>
          <w:p w14:paraId="249B4A15" w14:textId="52DC7FBD" w:rsidR="00B868DC" w:rsidRDefault="00B868DC" w:rsidP="00B868DC">
            <w:pPr>
              <w:jc w:val="right"/>
              <w:rPr>
                <w:color w:val="000000"/>
              </w:rPr>
            </w:pPr>
            <w:r w:rsidRPr="00706E01">
              <w:rPr>
                <w:lang w:val="en-IE" w:eastAsia="en-IE"/>
              </w:rPr>
              <w:t>349</w:t>
            </w:r>
          </w:p>
        </w:tc>
        <w:tc>
          <w:tcPr>
            <w:tcW w:w="934" w:type="dxa"/>
            <w:tcBorders>
              <w:top w:val="nil"/>
              <w:left w:val="nil"/>
              <w:bottom w:val="single" w:sz="8" w:space="0" w:color="auto"/>
              <w:right w:val="single" w:sz="8" w:space="0" w:color="auto"/>
            </w:tcBorders>
            <w:shd w:val="clear" w:color="auto" w:fill="auto"/>
            <w:noWrap/>
            <w:vAlign w:val="center"/>
            <w:hideMark/>
          </w:tcPr>
          <w:p w14:paraId="7475DD58" w14:textId="17B8488B" w:rsidR="00B868DC" w:rsidRDefault="00B868DC" w:rsidP="00B868DC">
            <w:pPr>
              <w:jc w:val="right"/>
              <w:rPr>
                <w:color w:val="000000"/>
              </w:rPr>
            </w:pPr>
            <w:r w:rsidRPr="00706E01">
              <w:rPr>
                <w:lang w:val="en-IE" w:eastAsia="en-IE"/>
              </w:rPr>
              <w:t>4</w:t>
            </w:r>
            <w:r w:rsidR="00CD06F5">
              <w:rPr>
                <w:lang w:val="en-IE" w:eastAsia="en-IE"/>
              </w:rPr>
              <w:t>.</w:t>
            </w:r>
            <w:r w:rsidRPr="00706E01">
              <w:rPr>
                <w:lang w:val="en-IE" w:eastAsia="en-IE"/>
              </w:rPr>
              <w:t>1</w:t>
            </w:r>
          </w:p>
        </w:tc>
        <w:tc>
          <w:tcPr>
            <w:tcW w:w="986" w:type="dxa"/>
            <w:tcBorders>
              <w:top w:val="nil"/>
              <w:left w:val="nil"/>
              <w:bottom w:val="single" w:sz="8" w:space="0" w:color="auto"/>
              <w:right w:val="single" w:sz="8" w:space="0" w:color="auto"/>
            </w:tcBorders>
            <w:shd w:val="clear" w:color="auto" w:fill="auto"/>
            <w:noWrap/>
            <w:vAlign w:val="center"/>
            <w:hideMark/>
          </w:tcPr>
          <w:p w14:paraId="68B97160" w14:textId="0EFEBA8B" w:rsidR="00B868DC" w:rsidRDefault="00B868DC" w:rsidP="00B868DC">
            <w:pPr>
              <w:jc w:val="right"/>
              <w:rPr>
                <w:color w:val="000000"/>
              </w:rPr>
            </w:pPr>
            <w:r w:rsidRPr="00706E01">
              <w:rPr>
                <w:lang w:val="en-IE" w:eastAsia="en-IE"/>
              </w:rPr>
              <w:t>172</w:t>
            </w:r>
          </w:p>
        </w:tc>
      </w:tr>
      <w:tr w:rsidR="00B868DC" w14:paraId="76EF25DF"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752607A9" w14:textId="77777777" w:rsidR="00B868DC" w:rsidRDefault="00B868DC" w:rsidP="00B868DC">
            <w:pPr>
              <w:jc w:val="right"/>
              <w:rPr>
                <w:color w:val="000000"/>
              </w:rPr>
            </w:pPr>
            <w:r>
              <w:rPr>
                <w:color w:val="000000"/>
              </w:rPr>
              <w:t>2025</w:t>
            </w:r>
          </w:p>
        </w:tc>
        <w:tc>
          <w:tcPr>
            <w:tcW w:w="925" w:type="dxa"/>
            <w:tcBorders>
              <w:top w:val="nil"/>
              <w:left w:val="nil"/>
              <w:bottom w:val="single" w:sz="8" w:space="0" w:color="auto"/>
              <w:right w:val="single" w:sz="8" w:space="0" w:color="auto"/>
            </w:tcBorders>
            <w:shd w:val="clear" w:color="auto" w:fill="auto"/>
            <w:noWrap/>
            <w:vAlign w:val="center"/>
            <w:hideMark/>
          </w:tcPr>
          <w:p w14:paraId="4F00CE43" w14:textId="16CED76D" w:rsidR="00B868DC" w:rsidRDefault="00B868DC" w:rsidP="00B868DC">
            <w:pPr>
              <w:jc w:val="right"/>
              <w:rPr>
                <w:color w:val="000000"/>
              </w:rPr>
            </w:pPr>
            <w:r w:rsidRPr="00706E01">
              <w:rPr>
                <w:lang w:val="en-IE" w:eastAsia="en-IE"/>
              </w:rPr>
              <w:t>12</w:t>
            </w:r>
            <w:r w:rsidR="00CD06F5">
              <w:rPr>
                <w:lang w:val="en-IE" w:eastAsia="en-IE"/>
              </w:rPr>
              <w:t>.</w:t>
            </w:r>
            <w:r w:rsidRPr="00706E01">
              <w:rPr>
                <w:lang w:val="en-IE" w:eastAsia="en-IE"/>
              </w:rPr>
              <w:t>4</w:t>
            </w:r>
          </w:p>
        </w:tc>
        <w:tc>
          <w:tcPr>
            <w:tcW w:w="975" w:type="dxa"/>
            <w:tcBorders>
              <w:top w:val="nil"/>
              <w:left w:val="nil"/>
              <w:bottom w:val="single" w:sz="8" w:space="0" w:color="auto"/>
              <w:right w:val="single" w:sz="8" w:space="0" w:color="auto"/>
            </w:tcBorders>
            <w:shd w:val="clear" w:color="auto" w:fill="auto"/>
            <w:noWrap/>
            <w:vAlign w:val="center"/>
            <w:hideMark/>
          </w:tcPr>
          <w:p w14:paraId="6CF5C185" w14:textId="0F244A4C" w:rsidR="00B868DC" w:rsidRDefault="00B868DC" w:rsidP="00B868DC">
            <w:pPr>
              <w:jc w:val="right"/>
              <w:rPr>
                <w:color w:val="000000"/>
              </w:rPr>
            </w:pPr>
            <w:r w:rsidRPr="00706E01">
              <w:rPr>
                <w:lang w:val="en-IE" w:eastAsia="en-IE"/>
              </w:rPr>
              <w:t>520</w:t>
            </w:r>
          </w:p>
        </w:tc>
        <w:tc>
          <w:tcPr>
            <w:tcW w:w="1080" w:type="dxa"/>
            <w:tcBorders>
              <w:top w:val="nil"/>
              <w:left w:val="nil"/>
              <w:bottom w:val="single" w:sz="8" w:space="0" w:color="auto"/>
              <w:right w:val="single" w:sz="8" w:space="0" w:color="auto"/>
            </w:tcBorders>
            <w:shd w:val="clear" w:color="auto" w:fill="auto"/>
            <w:noWrap/>
            <w:vAlign w:val="center"/>
            <w:hideMark/>
          </w:tcPr>
          <w:p w14:paraId="2B0DFBB6" w14:textId="69F8D70F" w:rsidR="00B868DC" w:rsidRDefault="00B868DC" w:rsidP="00B868DC">
            <w:pPr>
              <w:jc w:val="right"/>
              <w:rPr>
                <w:color w:val="000000"/>
              </w:rPr>
            </w:pPr>
            <w:r w:rsidRPr="00706E01">
              <w:rPr>
                <w:lang w:val="en-IE" w:eastAsia="en-IE"/>
              </w:rPr>
              <w:t>76</w:t>
            </w:r>
          </w:p>
        </w:tc>
        <w:tc>
          <w:tcPr>
            <w:tcW w:w="934" w:type="dxa"/>
            <w:tcBorders>
              <w:top w:val="nil"/>
              <w:left w:val="nil"/>
              <w:bottom w:val="single" w:sz="8" w:space="0" w:color="auto"/>
              <w:right w:val="single" w:sz="8" w:space="0" w:color="auto"/>
            </w:tcBorders>
            <w:shd w:val="clear" w:color="auto" w:fill="auto"/>
            <w:noWrap/>
            <w:vAlign w:val="center"/>
            <w:hideMark/>
          </w:tcPr>
          <w:p w14:paraId="527E3A46" w14:textId="508AAF14" w:rsidR="00B868DC" w:rsidRDefault="00B868DC" w:rsidP="00B868DC">
            <w:pPr>
              <w:jc w:val="right"/>
              <w:rPr>
                <w:color w:val="000000"/>
              </w:rPr>
            </w:pPr>
            <w:r w:rsidRPr="00706E01">
              <w:rPr>
                <w:lang w:val="en-IE" w:eastAsia="en-IE"/>
              </w:rPr>
              <w:t>9</w:t>
            </w:r>
            <w:r w:rsidR="00CD06F5">
              <w:rPr>
                <w:lang w:val="en-IE" w:eastAsia="en-IE"/>
              </w:rPr>
              <w:t>.</w:t>
            </w:r>
            <w:r w:rsidRPr="00706E01">
              <w:rPr>
                <w:lang w:val="en-IE" w:eastAsia="en-IE"/>
              </w:rPr>
              <w:t>4</w:t>
            </w:r>
          </w:p>
        </w:tc>
        <w:tc>
          <w:tcPr>
            <w:tcW w:w="986" w:type="dxa"/>
            <w:tcBorders>
              <w:top w:val="nil"/>
              <w:left w:val="nil"/>
              <w:bottom w:val="single" w:sz="8" w:space="0" w:color="auto"/>
              <w:right w:val="single" w:sz="8" w:space="0" w:color="auto"/>
            </w:tcBorders>
            <w:shd w:val="clear" w:color="auto" w:fill="auto"/>
            <w:noWrap/>
            <w:vAlign w:val="center"/>
            <w:hideMark/>
          </w:tcPr>
          <w:p w14:paraId="4F8E825E" w14:textId="35A7D38E" w:rsidR="00B868DC" w:rsidRDefault="00B868DC" w:rsidP="00B868DC">
            <w:pPr>
              <w:jc w:val="right"/>
              <w:rPr>
                <w:color w:val="000000"/>
              </w:rPr>
            </w:pPr>
            <w:r w:rsidRPr="00706E01">
              <w:rPr>
                <w:lang w:val="en-IE" w:eastAsia="en-IE"/>
              </w:rPr>
              <w:t>394</w:t>
            </w:r>
          </w:p>
        </w:tc>
        <w:tc>
          <w:tcPr>
            <w:tcW w:w="934" w:type="dxa"/>
            <w:tcBorders>
              <w:top w:val="nil"/>
              <w:left w:val="nil"/>
              <w:bottom w:val="single" w:sz="8" w:space="0" w:color="auto"/>
              <w:right w:val="single" w:sz="8" w:space="0" w:color="auto"/>
            </w:tcBorders>
            <w:shd w:val="clear" w:color="auto" w:fill="auto"/>
            <w:noWrap/>
            <w:vAlign w:val="center"/>
            <w:hideMark/>
          </w:tcPr>
          <w:p w14:paraId="292C426A" w14:textId="570600D3" w:rsidR="00B868DC" w:rsidRDefault="00B868DC" w:rsidP="00B868DC">
            <w:pPr>
              <w:jc w:val="right"/>
              <w:rPr>
                <w:color w:val="000000"/>
              </w:rPr>
            </w:pPr>
            <w:r w:rsidRPr="00706E01">
              <w:rPr>
                <w:lang w:val="en-IE" w:eastAsia="en-IE"/>
              </w:rPr>
              <w:t>4</w:t>
            </w:r>
            <w:r w:rsidR="00CD06F5">
              <w:rPr>
                <w:lang w:val="en-IE" w:eastAsia="en-IE"/>
              </w:rPr>
              <w:t>.</w:t>
            </w:r>
            <w:r w:rsidRPr="00706E01">
              <w:rPr>
                <w:lang w:val="en-IE" w:eastAsia="en-IE"/>
              </w:rPr>
              <w:t>1</w:t>
            </w:r>
          </w:p>
        </w:tc>
        <w:tc>
          <w:tcPr>
            <w:tcW w:w="986" w:type="dxa"/>
            <w:tcBorders>
              <w:top w:val="nil"/>
              <w:left w:val="nil"/>
              <w:bottom w:val="single" w:sz="8" w:space="0" w:color="auto"/>
              <w:right w:val="single" w:sz="8" w:space="0" w:color="auto"/>
            </w:tcBorders>
            <w:shd w:val="clear" w:color="auto" w:fill="auto"/>
            <w:noWrap/>
            <w:vAlign w:val="center"/>
            <w:hideMark/>
          </w:tcPr>
          <w:p w14:paraId="21FCB66D" w14:textId="3FF7F342" w:rsidR="00B868DC" w:rsidRDefault="00B868DC" w:rsidP="00B868DC">
            <w:pPr>
              <w:jc w:val="right"/>
              <w:rPr>
                <w:color w:val="000000"/>
              </w:rPr>
            </w:pPr>
            <w:r w:rsidRPr="00706E01">
              <w:rPr>
                <w:lang w:val="en-IE" w:eastAsia="en-IE"/>
              </w:rPr>
              <w:t>172</w:t>
            </w:r>
          </w:p>
        </w:tc>
      </w:tr>
      <w:tr w:rsidR="00B868DC" w14:paraId="3DD1AD15"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4F8CD7A5" w14:textId="77777777" w:rsidR="00B868DC" w:rsidRDefault="00B868DC" w:rsidP="00B868DC">
            <w:pPr>
              <w:jc w:val="right"/>
              <w:rPr>
                <w:color w:val="000000"/>
              </w:rPr>
            </w:pPr>
            <w:r>
              <w:rPr>
                <w:color w:val="000000"/>
              </w:rPr>
              <w:t>2030</w:t>
            </w:r>
          </w:p>
        </w:tc>
        <w:tc>
          <w:tcPr>
            <w:tcW w:w="925" w:type="dxa"/>
            <w:tcBorders>
              <w:top w:val="nil"/>
              <w:left w:val="nil"/>
              <w:bottom w:val="single" w:sz="8" w:space="0" w:color="auto"/>
              <w:right w:val="single" w:sz="8" w:space="0" w:color="auto"/>
            </w:tcBorders>
            <w:shd w:val="clear" w:color="auto" w:fill="auto"/>
            <w:noWrap/>
            <w:vAlign w:val="center"/>
            <w:hideMark/>
          </w:tcPr>
          <w:p w14:paraId="6939A3B0" w14:textId="4E386EDA" w:rsidR="00B868DC" w:rsidRDefault="00B868DC" w:rsidP="00B868DC">
            <w:pPr>
              <w:jc w:val="right"/>
              <w:rPr>
                <w:color w:val="000000"/>
              </w:rPr>
            </w:pPr>
            <w:r w:rsidRPr="00706E01">
              <w:rPr>
                <w:lang w:val="en-IE" w:eastAsia="en-IE"/>
              </w:rPr>
              <w:t>13</w:t>
            </w:r>
            <w:r w:rsidR="00CD06F5">
              <w:rPr>
                <w:lang w:val="en-IE" w:eastAsia="en-IE"/>
              </w:rPr>
              <w:t>.</w:t>
            </w:r>
            <w:r w:rsidRPr="00706E01">
              <w:rPr>
                <w:lang w:val="en-IE" w:eastAsia="en-IE"/>
              </w:rPr>
              <w:t>9</w:t>
            </w:r>
          </w:p>
        </w:tc>
        <w:tc>
          <w:tcPr>
            <w:tcW w:w="975" w:type="dxa"/>
            <w:tcBorders>
              <w:top w:val="nil"/>
              <w:left w:val="nil"/>
              <w:bottom w:val="single" w:sz="8" w:space="0" w:color="auto"/>
              <w:right w:val="single" w:sz="8" w:space="0" w:color="auto"/>
            </w:tcBorders>
            <w:shd w:val="clear" w:color="auto" w:fill="auto"/>
            <w:noWrap/>
            <w:vAlign w:val="center"/>
            <w:hideMark/>
          </w:tcPr>
          <w:p w14:paraId="63499377" w14:textId="6312B664" w:rsidR="00B868DC" w:rsidRDefault="00B868DC" w:rsidP="00B868DC">
            <w:pPr>
              <w:jc w:val="right"/>
              <w:rPr>
                <w:color w:val="000000"/>
              </w:rPr>
            </w:pPr>
            <w:r w:rsidRPr="00706E01">
              <w:rPr>
                <w:lang w:val="en-IE" w:eastAsia="en-IE"/>
              </w:rPr>
              <w:t>582</w:t>
            </w:r>
          </w:p>
        </w:tc>
        <w:tc>
          <w:tcPr>
            <w:tcW w:w="1080" w:type="dxa"/>
            <w:tcBorders>
              <w:top w:val="nil"/>
              <w:left w:val="nil"/>
              <w:bottom w:val="single" w:sz="8" w:space="0" w:color="auto"/>
              <w:right w:val="single" w:sz="8" w:space="0" w:color="auto"/>
            </w:tcBorders>
            <w:shd w:val="clear" w:color="auto" w:fill="auto"/>
            <w:noWrap/>
            <w:vAlign w:val="center"/>
            <w:hideMark/>
          </w:tcPr>
          <w:p w14:paraId="18AB3817" w14:textId="7B927550" w:rsidR="00B868DC" w:rsidRDefault="00B868DC" w:rsidP="00B868DC">
            <w:pPr>
              <w:jc w:val="right"/>
              <w:rPr>
                <w:color w:val="000000"/>
              </w:rPr>
            </w:pPr>
            <w:r w:rsidRPr="00706E01">
              <w:rPr>
                <w:lang w:val="en-IE" w:eastAsia="en-IE"/>
              </w:rPr>
              <w:t>85</w:t>
            </w:r>
          </w:p>
        </w:tc>
        <w:tc>
          <w:tcPr>
            <w:tcW w:w="934" w:type="dxa"/>
            <w:tcBorders>
              <w:top w:val="nil"/>
              <w:left w:val="nil"/>
              <w:bottom w:val="single" w:sz="8" w:space="0" w:color="auto"/>
              <w:right w:val="single" w:sz="8" w:space="0" w:color="auto"/>
            </w:tcBorders>
            <w:shd w:val="clear" w:color="auto" w:fill="auto"/>
            <w:noWrap/>
            <w:vAlign w:val="center"/>
            <w:hideMark/>
          </w:tcPr>
          <w:p w14:paraId="7B93877E" w14:textId="7E88F229" w:rsidR="00B868DC" w:rsidRDefault="00B868DC" w:rsidP="00B868DC">
            <w:pPr>
              <w:jc w:val="right"/>
              <w:rPr>
                <w:color w:val="000000"/>
              </w:rPr>
            </w:pPr>
            <w:r w:rsidRPr="00706E01">
              <w:rPr>
                <w:lang w:val="en-IE" w:eastAsia="en-IE"/>
              </w:rPr>
              <w:t>9</w:t>
            </w:r>
            <w:r w:rsidR="00CD06F5">
              <w:rPr>
                <w:lang w:val="en-IE" w:eastAsia="en-IE"/>
              </w:rPr>
              <w:t>.</w:t>
            </w:r>
            <w:r w:rsidRPr="00706E01">
              <w:rPr>
                <w:lang w:val="en-IE" w:eastAsia="en-IE"/>
              </w:rPr>
              <w:t>0</w:t>
            </w:r>
          </w:p>
        </w:tc>
        <w:tc>
          <w:tcPr>
            <w:tcW w:w="986" w:type="dxa"/>
            <w:tcBorders>
              <w:top w:val="nil"/>
              <w:left w:val="nil"/>
              <w:bottom w:val="single" w:sz="8" w:space="0" w:color="auto"/>
              <w:right w:val="single" w:sz="8" w:space="0" w:color="auto"/>
            </w:tcBorders>
            <w:shd w:val="clear" w:color="auto" w:fill="auto"/>
            <w:noWrap/>
            <w:vAlign w:val="center"/>
            <w:hideMark/>
          </w:tcPr>
          <w:p w14:paraId="65C1F55E" w14:textId="21DCE8D0" w:rsidR="00B868DC" w:rsidRDefault="00B868DC" w:rsidP="00B868DC">
            <w:pPr>
              <w:jc w:val="right"/>
              <w:rPr>
                <w:color w:val="000000"/>
              </w:rPr>
            </w:pPr>
            <w:r w:rsidRPr="00706E01">
              <w:rPr>
                <w:lang w:val="en-IE" w:eastAsia="en-IE"/>
              </w:rPr>
              <w:t>377</w:t>
            </w:r>
          </w:p>
        </w:tc>
        <w:tc>
          <w:tcPr>
            <w:tcW w:w="934" w:type="dxa"/>
            <w:tcBorders>
              <w:top w:val="nil"/>
              <w:left w:val="nil"/>
              <w:bottom w:val="single" w:sz="8" w:space="0" w:color="auto"/>
              <w:right w:val="single" w:sz="8" w:space="0" w:color="auto"/>
            </w:tcBorders>
            <w:shd w:val="clear" w:color="auto" w:fill="auto"/>
            <w:noWrap/>
            <w:vAlign w:val="center"/>
            <w:hideMark/>
          </w:tcPr>
          <w:p w14:paraId="5CEEF615" w14:textId="5682634C" w:rsidR="00B868DC" w:rsidRDefault="00B868DC" w:rsidP="00B868DC">
            <w:pPr>
              <w:jc w:val="right"/>
              <w:rPr>
                <w:color w:val="000000"/>
              </w:rPr>
            </w:pPr>
            <w:r w:rsidRPr="00706E01">
              <w:rPr>
                <w:lang w:val="en-IE" w:eastAsia="en-IE"/>
              </w:rPr>
              <w:t>4</w:t>
            </w:r>
            <w:r w:rsidR="00CD06F5">
              <w:rPr>
                <w:lang w:val="en-IE" w:eastAsia="en-IE"/>
              </w:rPr>
              <w:t>.</w:t>
            </w:r>
            <w:r w:rsidRPr="00706E01">
              <w:rPr>
                <w:lang w:val="en-IE" w:eastAsia="en-IE"/>
              </w:rPr>
              <w:t>0</w:t>
            </w:r>
          </w:p>
        </w:tc>
        <w:tc>
          <w:tcPr>
            <w:tcW w:w="986" w:type="dxa"/>
            <w:tcBorders>
              <w:top w:val="nil"/>
              <w:left w:val="nil"/>
              <w:bottom w:val="single" w:sz="8" w:space="0" w:color="auto"/>
              <w:right w:val="single" w:sz="8" w:space="0" w:color="auto"/>
            </w:tcBorders>
            <w:shd w:val="clear" w:color="auto" w:fill="auto"/>
            <w:noWrap/>
            <w:vAlign w:val="center"/>
            <w:hideMark/>
          </w:tcPr>
          <w:p w14:paraId="566362C9" w14:textId="46BF1BC1" w:rsidR="00B868DC" w:rsidRDefault="00B868DC" w:rsidP="00B868DC">
            <w:pPr>
              <w:jc w:val="right"/>
              <w:rPr>
                <w:color w:val="000000"/>
              </w:rPr>
            </w:pPr>
            <w:r w:rsidRPr="00706E01">
              <w:rPr>
                <w:lang w:val="en-IE" w:eastAsia="en-IE"/>
              </w:rPr>
              <w:t>169</w:t>
            </w:r>
          </w:p>
        </w:tc>
      </w:tr>
      <w:tr w:rsidR="00B868DC" w14:paraId="439B387E"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2FE9E655" w14:textId="77777777" w:rsidR="00B868DC" w:rsidRDefault="00B868DC" w:rsidP="00B868DC">
            <w:pPr>
              <w:jc w:val="right"/>
              <w:rPr>
                <w:color w:val="000000"/>
              </w:rPr>
            </w:pPr>
            <w:r>
              <w:rPr>
                <w:color w:val="000000"/>
              </w:rPr>
              <w:t>2035</w:t>
            </w:r>
          </w:p>
        </w:tc>
        <w:tc>
          <w:tcPr>
            <w:tcW w:w="925" w:type="dxa"/>
            <w:tcBorders>
              <w:top w:val="nil"/>
              <w:left w:val="nil"/>
              <w:bottom w:val="single" w:sz="8" w:space="0" w:color="auto"/>
              <w:right w:val="single" w:sz="8" w:space="0" w:color="auto"/>
            </w:tcBorders>
            <w:shd w:val="clear" w:color="auto" w:fill="auto"/>
            <w:noWrap/>
            <w:vAlign w:val="center"/>
            <w:hideMark/>
          </w:tcPr>
          <w:p w14:paraId="3B360D57" w14:textId="63DC62CA" w:rsidR="00B868DC" w:rsidRDefault="00B868DC" w:rsidP="00B868DC">
            <w:pPr>
              <w:jc w:val="right"/>
              <w:rPr>
                <w:color w:val="000000"/>
              </w:rPr>
            </w:pPr>
            <w:r w:rsidRPr="00706E01">
              <w:rPr>
                <w:lang w:val="en-IE" w:eastAsia="en-IE"/>
              </w:rPr>
              <w:t>15</w:t>
            </w:r>
            <w:r w:rsidR="00CD06F5">
              <w:rPr>
                <w:lang w:val="en-IE" w:eastAsia="en-IE"/>
              </w:rPr>
              <w:t>.</w:t>
            </w:r>
            <w:r w:rsidRPr="00706E01">
              <w:rPr>
                <w:lang w:val="en-IE" w:eastAsia="en-IE"/>
              </w:rPr>
              <w:t>4</w:t>
            </w:r>
          </w:p>
        </w:tc>
        <w:tc>
          <w:tcPr>
            <w:tcW w:w="975" w:type="dxa"/>
            <w:tcBorders>
              <w:top w:val="nil"/>
              <w:left w:val="nil"/>
              <w:bottom w:val="single" w:sz="8" w:space="0" w:color="auto"/>
              <w:right w:val="single" w:sz="8" w:space="0" w:color="auto"/>
            </w:tcBorders>
            <w:shd w:val="clear" w:color="auto" w:fill="auto"/>
            <w:noWrap/>
            <w:vAlign w:val="center"/>
            <w:hideMark/>
          </w:tcPr>
          <w:p w14:paraId="23AAA0DE" w14:textId="2F205588" w:rsidR="00B868DC" w:rsidRDefault="00B868DC" w:rsidP="00B868DC">
            <w:pPr>
              <w:jc w:val="right"/>
              <w:rPr>
                <w:color w:val="000000"/>
              </w:rPr>
            </w:pPr>
            <w:r w:rsidRPr="00706E01">
              <w:rPr>
                <w:lang w:val="en-IE" w:eastAsia="en-IE"/>
              </w:rPr>
              <w:t>645</w:t>
            </w:r>
          </w:p>
        </w:tc>
        <w:tc>
          <w:tcPr>
            <w:tcW w:w="1080" w:type="dxa"/>
            <w:tcBorders>
              <w:top w:val="nil"/>
              <w:left w:val="nil"/>
              <w:bottom w:val="single" w:sz="8" w:space="0" w:color="auto"/>
              <w:right w:val="single" w:sz="8" w:space="0" w:color="auto"/>
            </w:tcBorders>
            <w:shd w:val="clear" w:color="auto" w:fill="auto"/>
            <w:noWrap/>
            <w:vAlign w:val="center"/>
            <w:hideMark/>
          </w:tcPr>
          <w:p w14:paraId="63EA2B74" w14:textId="2C652D36" w:rsidR="00B868DC" w:rsidRDefault="00B868DC" w:rsidP="00B868DC">
            <w:pPr>
              <w:jc w:val="right"/>
              <w:rPr>
                <w:color w:val="000000"/>
              </w:rPr>
            </w:pPr>
            <w:r w:rsidRPr="00706E01">
              <w:rPr>
                <w:lang w:val="en-IE" w:eastAsia="en-IE"/>
              </w:rPr>
              <w:t>94</w:t>
            </w:r>
          </w:p>
        </w:tc>
        <w:tc>
          <w:tcPr>
            <w:tcW w:w="934" w:type="dxa"/>
            <w:tcBorders>
              <w:top w:val="nil"/>
              <w:left w:val="nil"/>
              <w:bottom w:val="single" w:sz="8" w:space="0" w:color="auto"/>
              <w:right w:val="single" w:sz="8" w:space="0" w:color="auto"/>
            </w:tcBorders>
            <w:shd w:val="clear" w:color="auto" w:fill="auto"/>
            <w:noWrap/>
            <w:vAlign w:val="center"/>
            <w:hideMark/>
          </w:tcPr>
          <w:p w14:paraId="2991F3EF" w14:textId="4CA16D96" w:rsidR="00B868DC" w:rsidRDefault="00B868DC" w:rsidP="00B868DC">
            <w:pPr>
              <w:jc w:val="right"/>
              <w:rPr>
                <w:color w:val="000000"/>
              </w:rPr>
            </w:pPr>
            <w:r w:rsidRPr="00706E01">
              <w:rPr>
                <w:lang w:val="en-IE" w:eastAsia="en-IE"/>
              </w:rPr>
              <w:t>8</w:t>
            </w:r>
            <w:r w:rsidR="00CD06F5">
              <w:rPr>
                <w:lang w:val="en-IE" w:eastAsia="en-IE"/>
              </w:rPr>
              <w:t>.</w:t>
            </w:r>
            <w:r w:rsidRPr="00706E01">
              <w:rPr>
                <w:lang w:val="en-IE" w:eastAsia="en-IE"/>
              </w:rPr>
              <w:t>2</w:t>
            </w:r>
          </w:p>
        </w:tc>
        <w:tc>
          <w:tcPr>
            <w:tcW w:w="986" w:type="dxa"/>
            <w:tcBorders>
              <w:top w:val="nil"/>
              <w:left w:val="nil"/>
              <w:bottom w:val="single" w:sz="8" w:space="0" w:color="auto"/>
              <w:right w:val="single" w:sz="8" w:space="0" w:color="auto"/>
            </w:tcBorders>
            <w:shd w:val="clear" w:color="auto" w:fill="auto"/>
            <w:noWrap/>
            <w:vAlign w:val="center"/>
            <w:hideMark/>
          </w:tcPr>
          <w:p w14:paraId="5F47D5CA" w14:textId="28006E81" w:rsidR="00B868DC" w:rsidRDefault="00B868DC" w:rsidP="00B868DC">
            <w:pPr>
              <w:jc w:val="right"/>
              <w:rPr>
                <w:color w:val="000000"/>
              </w:rPr>
            </w:pPr>
            <w:r w:rsidRPr="00706E01">
              <w:rPr>
                <w:lang w:val="en-IE" w:eastAsia="en-IE"/>
              </w:rPr>
              <w:t>344</w:t>
            </w:r>
          </w:p>
        </w:tc>
        <w:tc>
          <w:tcPr>
            <w:tcW w:w="934" w:type="dxa"/>
            <w:tcBorders>
              <w:top w:val="nil"/>
              <w:left w:val="nil"/>
              <w:bottom w:val="single" w:sz="8" w:space="0" w:color="auto"/>
              <w:right w:val="single" w:sz="8" w:space="0" w:color="auto"/>
            </w:tcBorders>
            <w:shd w:val="clear" w:color="auto" w:fill="auto"/>
            <w:noWrap/>
            <w:vAlign w:val="center"/>
            <w:hideMark/>
          </w:tcPr>
          <w:p w14:paraId="61E1888A" w14:textId="19B5C2D7" w:rsidR="00B868DC" w:rsidRDefault="00B868DC" w:rsidP="00B868DC">
            <w:pPr>
              <w:jc w:val="right"/>
              <w:rPr>
                <w:color w:val="000000"/>
              </w:rPr>
            </w:pPr>
            <w:r w:rsidRPr="00706E01">
              <w:rPr>
                <w:lang w:val="en-IE" w:eastAsia="en-IE"/>
              </w:rPr>
              <w:t>3</w:t>
            </w:r>
            <w:r w:rsidR="00CD06F5">
              <w:rPr>
                <w:lang w:val="en-IE" w:eastAsia="en-IE"/>
              </w:rPr>
              <w:t>.</w:t>
            </w:r>
            <w:r w:rsidRPr="00706E01">
              <w:rPr>
                <w:lang w:val="en-IE" w:eastAsia="en-IE"/>
              </w:rPr>
              <w:t>8</w:t>
            </w:r>
          </w:p>
        </w:tc>
        <w:tc>
          <w:tcPr>
            <w:tcW w:w="986" w:type="dxa"/>
            <w:tcBorders>
              <w:top w:val="nil"/>
              <w:left w:val="nil"/>
              <w:bottom w:val="single" w:sz="8" w:space="0" w:color="auto"/>
              <w:right w:val="single" w:sz="8" w:space="0" w:color="auto"/>
            </w:tcBorders>
            <w:shd w:val="clear" w:color="auto" w:fill="auto"/>
            <w:noWrap/>
            <w:vAlign w:val="center"/>
            <w:hideMark/>
          </w:tcPr>
          <w:p w14:paraId="243FEE07" w14:textId="74F03AC3" w:rsidR="00B868DC" w:rsidRDefault="00B868DC" w:rsidP="00B868DC">
            <w:pPr>
              <w:jc w:val="right"/>
              <w:rPr>
                <w:color w:val="000000"/>
              </w:rPr>
            </w:pPr>
            <w:r w:rsidRPr="00706E01">
              <w:rPr>
                <w:lang w:val="en-IE" w:eastAsia="en-IE"/>
              </w:rPr>
              <w:t>161</w:t>
            </w:r>
          </w:p>
        </w:tc>
      </w:tr>
      <w:tr w:rsidR="00B868DC" w14:paraId="6B4708CE"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34D30B39" w14:textId="77777777" w:rsidR="00B868DC" w:rsidRDefault="00B868DC" w:rsidP="00B868DC">
            <w:pPr>
              <w:jc w:val="right"/>
              <w:rPr>
                <w:color w:val="000000"/>
              </w:rPr>
            </w:pPr>
            <w:r>
              <w:rPr>
                <w:color w:val="000000"/>
              </w:rPr>
              <w:t>2040</w:t>
            </w:r>
          </w:p>
        </w:tc>
        <w:tc>
          <w:tcPr>
            <w:tcW w:w="925" w:type="dxa"/>
            <w:tcBorders>
              <w:top w:val="nil"/>
              <w:left w:val="nil"/>
              <w:bottom w:val="single" w:sz="8" w:space="0" w:color="auto"/>
              <w:right w:val="single" w:sz="8" w:space="0" w:color="auto"/>
            </w:tcBorders>
            <w:shd w:val="clear" w:color="auto" w:fill="auto"/>
            <w:noWrap/>
            <w:vAlign w:val="center"/>
            <w:hideMark/>
          </w:tcPr>
          <w:p w14:paraId="1F624E32" w14:textId="1F1ABF13" w:rsidR="00B868DC" w:rsidRDefault="00B868DC" w:rsidP="00B868DC">
            <w:pPr>
              <w:jc w:val="right"/>
              <w:rPr>
                <w:color w:val="000000"/>
              </w:rPr>
            </w:pPr>
            <w:r w:rsidRPr="00706E01">
              <w:rPr>
                <w:lang w:val="en-IE" w:eastAsia="en-IE"/>
              </w:rPr>
              <w:t>15</w:t>
            </w:r>
            <w:r w:rsidR="00CD06F5">
              <w:rPr>
                <w:lang w:val="en-IE" w:eastAsia="en-IE"/>
              </w:rPr>
              <w:t>.</w:t>
            </w:r>
            <w:r w:rsidRPr="00706E01">
              <w:rPr>
                <w:lang w:val="en-IE" w:eastAsia="en-IE"/>
              </w:rPr>
              <w:t>8</w:t>
            </w:r>
          </w:p>
        </w:tc>
        <w:tc>
          <w:tcPr>
            <w:tcW w:w="975" w:type="dxa"/>
            <w:tcBorders>
              <w:top w:val="nil"/>
              <w:left w:val="nil"/>
              <w:bottom w:val="single" w:sz="8" w:space="0" w:color="auto"/>
              <w:right w:val="single" w:sz="8" w:space="0" w:color="auto"/>
            </w:tcBorders>
            <w:shd w:val="clear" w:color="auto" w:fill="auto"/>
            <w:noWrap/>
            <w:vAlign w:val="center"/>
            <w:hideMark/>
          </w:tcPr>
          <w:p w14:paraId="195E8864" w14:textId="19E3507A" w:rsidR="00B868DC" w:rsidRDefault="00B868DC" w:rsidP="00B868DC">
            <w:pPr>
              <w:jc w:val="right"/>
              <w:rPr>
                <w:color w:val="000000"/>
              </w:rPr>
            </w:pPr>
            <w:r w:rsidRPr="00706E01">
              <w:rPr>
                <w:lang w:val="en-IE" w:eastAsia="en-IE"/>
              </w:rPr>
              <w:t>663</w:t>
            </w:r>
          </w:p>
        </w:tc>
        <w:tc>
          <w:tcPr>
            <w:tcW w:w="1080" w:type="dxa"/>
            <w:tcBorders>
              <w:top w:val="nil"/>
              <w:left w:val="nil"/>
              <w:bottom w:val="single" w:sz="8" w:space="0" w:color="auto"/>
              <w:right w:val="single" w:sz="8" w:space="0" w:color="auto"/>
            </w:tcBorders>
            <w:shd w:val="clear" w:color="auto" w:fill="auto"/>
            <w:noWrap/>
            <w:vAlign w:val="center"/>
            <w:hideMark/>
          </w:tcPr>
          <w:p w14:paraId="5AA32EF5" w14:textId="66072DF5" w:rsidR="00B868DC" w:rsidRDefault="00B868DC" w:rsidP="00B868DC">
            <w:pPr>
              <w:jc w:val="right"/>
              <w:rPr>
                <w:color w:val="000000"/>
              </w:rPr>
            </w:pPr>
            <w:r w:rsidRPr="00706E01">
              <w:rPr>
                <w:lang w:val="en-IE" w:eastAsia="en-IE"/>
              </w:rPr>
              <w:t>97</w:t>
            </w:r>
          </w:p>
        </w:tc>
        <w:tc>
          <w:tcPr>
            <w:tcW w:w="934" w:type="dxa"/>
            <w:tcBorders>
              <w:top w:val="nil"/>
              <w:left w:val="nil"/>
              <w:bottom w:val="single" w:sz="8" w:space="0" w:color="auto"/>
              <w:right w:val="single" w:sz="8" w:space="0" w:color="auto"/>
            </w:tcBorders>
            <w:shd w:val="clear" w:color="auto" w:fill="auto"/>
            <w:noWrap/>
            <w:vAlign w:val="center"/>
            <w:hideMark/>
          </w:tcPr>
          <w:p w14:paraId="414D438C" w14:textId="5EDB5BDA" w:rsidR="00B868DC" w:rsidRDefault="00B868DC" w:rsidP="00B868DC">
            <w:pPr>
              <w:jc w:val="right"/>
              <w:rPr>
                <w:color w:val="000000"/>
              </w:rPr>
            </w:pPr>
            <w:r w:rsidRPr="00706E01">
              <w:rPr>
                <w:lang w:val="en-IE" w:eastAsia="en-IE"/>
              </w:rPr>
              <w:t>10</w:t>
            </w:r>
            <w:r w:rsidR="00CD06F5">
              <w:rPr>
                <w:lang w:val="en-IE" w:eastAsia="en-IE"/>
              </w:rPr>
              <w:t>.</w:t>
            </w:r>
            <w:r w:rsidRPr="00706E01">
              <w:rPr>
                <w:lang w:val="en-IE" w:eastAsia="en-IE"/>
              </w:rPr>
              <w:t>1</w:t>
            </w:r>
          </w:p>
        </w:tc>
        <w:tc>
          <w:tcPr>
            <w:tcW w:w="986" w:type="dxa"/>
            <w:tcBorders>
              <w:top w:val="nil"/>
              <w:left w:val="nil"/>
              <w:bottom w:val="single" w:sz="8" w:space="0" w:color="auto"/>
              <w:right w:val="single" w:sz="8" w:space="0" w:color="auto"/>
            </w:tcBorders>
            <w:shd w:val="clear" w:color="auto" w:fill="auto"/>
            <w:noWrap/>
            <w:vAlign w:val="center"/>
            <w:hideMark/>
          </w:tcPr>
          <w:p w14:paraId="4C2523D5" w14:textId="7B1FC4CC" w:rsidR="00B868DC" w:rsidRDefault="00B868DC" w:rsidP="00B868DC">
            <w:pPr>
              <w:jc w:val="right"/>
              <w:rPr>
                <w:color w:val="000000"/>
              </w:rPr>
            </w:pPr>
            <w:r w:rsidRPr="00706E01">
              <w:rPr>
                <w:lang w:val="en-IE" w:eastAsia="en-IE"/>
              </w:rPr>
              <w:t>422</w:t>
            </w:r>
          </w:p>
        </w:tc>
        <w:tc>
          <w:tcPr>
            <w:tcW w:w="934" w:type="dxa"/>
            <w:tcBorders>
              <w:top w:val="nil"/>
              <w:left w:val="nil"/>
              <w:bottom w:val="single" w:sz="8" w:space="0" w:color="auto"/>
              <w:right w:val="single" w:sz="8" w:space="0" w:color="auto"/>
            </w:tcBorders>
            <w:shd w:val="clear" w:color="auto" w:fill="auto"/>
            <w:noWrap/>
            <w:vAlign w:val="center"/>
            <w:hideMark/>
          </w:tcPr>
          <w:p w14:paraId="47DC7147" w14:textId="426880C2" w:rsidR="00B868DC" w:rsidRDefault="00B868DC" w:rsidP="00B868DC">
            <w:pPr>
              <w:jc w:val="right"/>
              <w:rPr>
                <w:color w:val="000000"/>
              </w:rPr>
            </w:pPr>
            <w:r w:rsidRPr="00706E01">
              <w:rPr>
                <w:lang w:val="en-IE" w:eastAsia="en-IE"/>
              </w:rPr>
              <w:t>3</w:t>
            </w:r>
            <w:r w:rsidR="00CD06F5">
              <w:rPr>
                <w:lang w:val="en-IE" w:eastAsia="en-IE"/>
              </w:rPr>
              <w:t>.</w:t>
            </w:r>
            <w:r w:rsidRPr="00706E01">
              <w:rPr>
                <w:lang w:val="en-IE" w:eastAsia="en-IE"/>
              </w:rPr>
              <w:t>8</w:t>
            </w:r>
          </w:p>
        </w:tc>
        <w:tc>
          <w:tcPr>
            <w:tcW w:w="986" w:type="dxa"/>
            <w:tcBorders>
              <w:top w:val="nil"/>
              <w:left w:val="nil"/>
              <w:bottom w:val="single" w:sz="8" w:space="0" w:color="auto"/>
              <w:right w:val="single" w:sz="8" w:space="0" w:color="auto"/>
            </w:tcBorders>
            <w:shd w:val="clear" w:color="auto" w:fill="auto"/>
            <w:noWrap/>
            <w:vAlign w:val="center"/>
            <w:hideMark/>
          </w:tcPr>
          <w:p w14:paraId="6EF294E5" w14:textId="3578A39C" w:rsidR="00B868DC" w:rsidRDefault="00B868DC" w:rsidP="00B868DC">
            <w:pPr>
              <w:jc w:val="right"/>
              <w:rPr>
                <w:color w:val="000000"/>
              </w:rPr>
            </w:pPr>
            <w:r w:rsidRPr="00706E01">
              <w:rPr>
                <w:lang w:val="en-IE" w:eastAsia="en-IE"/>
              </w:rPr>
              <w:t>160</w:t>
            </w:r>
          </w:p>
        </w:tc>
      </w:tr>
      <w:tr w:rsidR="00B868DC" w14:paraId="13CD21EC"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1F29AB2B" w14:textId="77777777" w:rsidR="00B868DC" w:rsidRDefault="00B868DC" w:rsidP="00B868DC">
            <w:pPr>
              <w:jc w:val="right"/>
              <w:rPr>
                <w:color w:val="000000"/>
              </w:rPr>
            </w:pPr>
            <w:r>
              <w:rPr>
                <w:color w:val="000000"/>
              </w:rPr>
              <w:t>2045</w:t>
            </w:r>
          </w:p>
        </w:tc>
        <w:tc>
          <w:tcPr>
            <w:tcW w:w="925" w:type="dxa"/>
            <w:tcBorders>
              <w:top w:val="nil"/>
              <w:left w:val="nil"/>
              <w:bottom w:val="single" w:sz="8" w:space="0" w:color="auto"/>
              <w:right w:val="single" w:sz="8" w:space="0" w:color="auto"/>
            </w:tcBorders>
            <w:shd w:val="clear" w:color="auto" w:fill="auto"/>
            <w:noWrap/>
            <w:vAlign w:val="center"/>
            <w:hideMark/>
          </w:tcPr>
          <w:p w14:paraId="1C984C7E" w14:textId="2F47BA5B" w:rsidR="00B868DC" w:rsidRDefault="00B868DC" w:rsidP="00B868DC">
            <w:pPr>
              <w:jc w:val="right"/>
              <w:rPr>
                <w:color w:val="000000"/>
              </w:rPr>
            </w:pPr>
            <w:r w:rsidRPr="00706E01">
              <w:rPr>
                <w:lang w:val="en-IE" w:eastAsia="en-IE"/>
              </w:rPr>
              <w:t>17</w:t>
            </w:r>
            <w:r w:rsidR="00CD06F5">
              <w:rPr>
                <w:lang w:val="en-IE" w:eastAsia="en-IE"/>
              </w:rPr>
              <w:t>.</w:t>
            </w:r>
            <w:r w:rsidR="00852ACE">
              <w:rPr>
                <w:lang w:val="en-IE" w:eastAsia="en-IE"/>
              </w:rPr>
              <w:t>2</w:t>
            </w:r>
          </w:p>
        </w:tc>
        <w:tc>
          <w:tcPr>
            <w:tcW w:w="975" w:type="dxa"/>
            <w:tcBorders>
              <w:top w:val="nil"/>
              <w:left w:val="nil"/>
              <w:bottom w:val="single" w:sz="8" w:space="0" w:color="auto"/>
              <w:right w:val="single" w:sz="8" w:space="0" w:color="auto"/>
            </w:tcBorders>
            <w:shd w:val="clear" w:color="auto" w:fill="auto"/>
            <w:noWrap/>
            <w:vAlign w:val="center"/>
            <w:hideMark/>
          </w:tcPr>
          <w:p w14:paraId="19BB3646" w14:textId="13990B75" w:rsidR="00B868DC" w:rsidRDefault="00B868DC" w:rsidP="00B868DC">
            <w:pPr>
              <w:jc w:val="right"/>
              <w:rPr>
                <w:color w:val="000000"/>
              </w:rPr>
            </w:pPr>
            <w:r w:rsidRPr="00706E01">
              <w:rPr>
                <w:lang w:val="en-IE" w:eastAsia="en-IE"/>
              </w:rPr>
              <w:t>718</w:t>
            </w:r>
          </w:p>
        </w:tc>
        <w:tc>
          <w:tcPr>
            <w:tcW w:w="1080" w:type="dxa"/>
            <w:tcBorders>
              <w:top w:val="nil"/>
              <w:left w:val="nil"/>
              <w:bottom w:val="single" w:sz="8" w:space="0" w:color="auto"/>
              <w:right w:val="single" w:sz="8" w:space="0" w:color="auto"/>
            </w:tcBorders>
            <w:shd w:val="clear" w:color="auto" w:fill="auto"/>
            <w:noWrap/>
            <w:vAlign w:val="center"/>
            <w:hideMark/>
          </w:tcPr>
          <w:p w14:paraId="3E1DCD42" w14:textId="08D38E5E" w:rsidR="00B868DC" w:rsidRDefault="00B868DC" w:rsidP="00B868DC">
            <w:pPr>
              <w:jc w:val="right"/>
              <w:rPr>
                <w:color w:val="000000"/>
              </w:rPr>
            </w:pPr>
            <w:r w:rsidRPr="00706E01">
              <w:rPr>
                <w:lang w:val="en-IE" w:eastAsia="en-IE"/>
              </w:rPr>
              <w:t>105</w:t>
            </w:r>
          </w:p>
        </w:tc>
        <w:tc>
          <w:tcPr>
            <w:tcW w:w="934" w:type="dxa"/>
            <w:tcBorders>
              <w:top w:val="nil"/>
              <w:left w:val="nil"/>
              <w:bottom w:val="single" w:sz="8" w:space="0" w:color="auto"/>
              <w:right w:val="single" w:sz="8" w:space="0" w:color="auto"/>
            </w:tcBorders>
            <w:shd w:val="clear" w:color="auto" w:fill="auto"/>
            <w:noWrap/>
            <w:vAlign w:val="center"/>
            <w:hideMark/>
          </w:tcPr>
          <w:p w14:paraId="18582ECD" w14:textId="12A7166E" w:rsidR="00B868DC" w:rsidRDefault="00B868DC" w:rsidP="00B868DC">
            <w:pPr>
              <w:jc w:val="right"/>
              <w:rPr>
                <w:color w:val="000000"/>
              </w:rPr>
            </w:pPr>
            <w:r w:rsidRPr="00706E01">
              <w:rPr>
                <w:lang w:val="en-IE" w:eastAsia="en-IE"/>
              </w:rPr>
              <w:t>9</w:t>
            </w:r>
            <w:r w:rsidR="00CD06F5">
              <w:rPr>
                <w:lang w:val="en-IE" w:eastAsia="en-IE"/>
              </w:rPr>
              <w:t>.</w:t>
            </w:r>
            <w:r w:rsidRPr="00706E01">
              <w:rPr>
                <w:lang w:val="en-IE" w:eastAsia="en-IE"/>
              </w:rPr>
              <w:t>9</w:t>
            </w:r>
          </w:p>
        </w:tc>
        <w:tc>
          <w:tcPr>
            <w:tcW w:w="986" w:type="dxa"/>
            <w:tcBorders>
              <w:top w:val="nil"/>
              <w:left w:val="nil"/>
              <w:bottom w:val="single" w:sz="8" w:space="0" w:color="auto"/>
              <w:right w:val="single" w:sz="8" w:space="0" w:color="auto"/>
            </w:tcBorders>
            <w:shd w:val="clear" w:color="auto" w:fill="auto"/>
            <w:noWrap/>
            <w:vAlign w:val="center"/>
            <w:hideMark/>
          </w:tcPr>
          <w:p w14:paraId="0A082F70" w14:textId="1A4D9347" w:rsidR="00B868DC" w:rsidRDefault="00B868DC" w:rsidP="00B868DC">
            <w:pPr>
              <w:jc w:val="right"/>
              <w:rPr>
                <w:color w:val="000000"/>
              </w:rPr>
            </w:pPr>
            <w:r w:rsidRPr="00706E01">
              <w:rPr>
                <w:lang w:val="en-IE" w:eastAsia="en-IE"/>
              </w:rPr>
              <w:t>412</w:t>
            </w:r>
          </w:p>
        </w:tc>
        <w:tc>
          <w:tcPr>
            <w:tcW w:w="934" w:type="dxa"/>
            <w:tcBorders>
              <w:top w:val="nil"/>
              <w:left w:val="nil"/>
              <w:bottom w:val="single" w:sz="8" w:space="0" w:color="auto"/>
              <w:right w:val="single" w:sz="8" w:space="0" w:color="auto"/>
            </w:tcBorders>
            <w:shd w:val="clear" w:color="auto" w:fill="auto"/>
            <w:noWrap/>
            <w:vAlign w:val="center"/>
            <w:hideMark/>
          </w:tcPr>
          <w:p w14:paraId="7710A1AB" w14:textId="7E695FC4" w:rsidR="00B868DC" w:rsidRDefault="00B868DC" w:rsidP="00B868DC">
            <w:pPr>
              <w:jc w:val="right"/>
              <w:rPr>
                <w:color w:val="000000"/>
              </w:rPr>
            </w:pPr>
            <w:r w:rsidRPr="00706E01">
              <w:rPr>
                <w:lang w:val="en-IE" w:eastAsia="en-IE"/>
              </w:rPr>
              <w:t>4</w:t>
            </w:r>
            <w:r w:rsidR="00CD06F5">
              <w:rPr>
                <w:lang w:val="en-IE" w:eastAsia="en-IE"/>
              </w:rPr>
              <w:t>.</w:t>
            </w:r>
            <w:r w:rsidRPr="00706E01">
              <w:rPr>
                <w:lang w:val="en-IE" w:eastAsia="en-IE"/>
              </w:rPr>
              <w:t>0</w:t>
            </w:r>
          </w:p>
        </w:tc>
        <w:tc>
          <w:tcPr>
            <w:tcW w:w="986" w:type="dxa"/>
            <w:tcBorders>
              <w:top w:val="nil"/>
              <w:left w:val="nil"/>
              <w:bottom w:val="single" w:sz="8" w:space="0" w:color="auto"/>
              <w:right w:val="single" w:sz="8" w:space="0" w:color="auto"/>
            </w:tcBorders>
            <w:shd w:val="clear" w:color="auto" w:fill="auto"/>
            <w:noWrap/>
            <w:vAlign w:val="center"/>
            <w:hideMark/>
          </w:tcPr>
          <w:p w14:paraId="54170FFC" w14:textId="0335E584" w:rsidR="00B868DC" w:rsidRDefault="00B868DC" w:rsidP="00B868DC">
            <w:pPr>
              <w:jc w:val="right"/>
              <w:rPr>
                <w:color w:val="000000"/>
              </w:rPr>
            </w:pPr>
            <w:r w:rsidRPr="00706E01">
              <w:rPr>
                <w:lang w:val="en-IE" w:eastAsia="en-IE"/>
              </w:rPr>
              <w:t>166</w:t>
            </w:r>
          </w:p>
        </w:tc>
      </w:tr>
      <w:tr w:rsidR="00B868DC" w14:paraId="6B640442"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3F9B1960" w14:textId="77777777" w:rsidR="00B868DC" w:rsidRDefault="00B868DC" w:rsidP="00B868DC">
            <w:pPr>
              <w:jc w:val="right"/>
              <w:rPr>
                <w:color w:val="000000"/>
              </w:rPr>
            </w:pPr>
            <w:r>
              <w:rPr>
                <w:color w:val="000000"/>
              </w:rPr>
              <w:t>2050</w:t>
            </w:r>
          </w:p>
        </w:tc>
        <w:tc>
          <w:tcPr>
            <w:tcW w:w="925" w:type="dxa"/>
            <w:tcBorders>
              <w:top w:val="nil"/>
              <w:left w:val="nil"/>
              <w:bottom w:val="single" w:sz="8" w:space="0" w:color="auto"/>
              <w:right w:val="single" w:sz="8" w:space="0" w:color="auto"/>
            </w:tcBorders>
            <w:shd w:val="clear" w:color="auto" w:fill="auto"/>
            <w:noWrap/>
            <w:vAlign w:val="center"/>
            <w:hideMark/>
          </w:tcPr>
          <w:p w14:paraId="3C294C05" w14:textId="1E7CF562" w:rsidR="00B868DC" w:rsidRDefault="00B868DC" w:rsidP="00B868DC">
            <w:pPr>
              <w:jc w:val="right"/>
              <w:rPr>
                <w:color w:val="000000"/>
              </w:rPr>
            </w:pPr>
            <w:r w:rsidRPr="00706E01">
              <w:rPr>
                <w:lang w:val="en-IE" w:eastAsia="en-IE"/>
              </w:rPr>
              <w:t>19</w:t>
            </w:r>
            <w:r w:rsidR="00CD06F5">
              <w:rPr>
                <w:lang w:val="en-IE" w:eastAsia="en-IE"/>
              </w:rPr>
              <w:t>.</w:t>
            </w:r>
            <w:r w:rsidRPr="00706E01">
              <w:rPr>
                <w:lang w:val="en-IE" w:eastAsia="en-IE"/>
              </w:rPr>
              <w:t>7</w:t>
            </w:r>
          </w:p>
        </w:tc>
        <w:tc>
          <w:tcPr>
            <w:tcW w:w="975" w:type="dxa"/>
            <w:tcBorders>
              <w:top w:val="nil"/>
              <w:left w:val="nil"/>
              <w:bottom w:val="single" w:sz="8" w:space="0" w:color="auto"/>
              <w:right w:val="single" w:sz="8" w:space="0" w:color="auto"/>
            </w:tcBorders>
            <w:shd w:val="clear" w:color="auto" w:fill="auto"/>
            <w:noWrap/>
            <w:vAlign w:val="center"/>
            <w:hideMark/>
          </w:tcPr>
          <w:p w14:paraId="175634FC" w14:textId="14E706ED" w:rsidR="00B868DC" w:rsidRDefault="00B868DC" w:rsidP="00B868DC">
            <w:pPr>
              <w:jc w:val="right"/>
              <w:rPr>
                <w:color w:val="000000"/>
              </w:rPr>
            </w:pPr>
            <w:r w:rsidRPr="00706E01">
              <w:rPr>
                <w:lang w:val="en-IE" w:eastAsia="en-IE"/>
              </w:rPr>
              <w:t>825</w:t>
            </w:r>
          </w:p>
        </w:tc>
        <w:tc>
          <w:tcPr>
            <w:tcW w:w="1080" w:type="dxa"/>
            <w:tcBorders>
              <w:top w:val="nil"/>
              <w:left w:val="nil"/>
              <w:bottom w:val="single" w:sz="8" w:space="0" w:color="auto"/>
              <w:right w:val="single" w:sz="8" w:space="0" w:color="auto"/>
            </w:tcBorders>
            <w:shd w:val="clear" w:color="auto" w:fill="auto"/>
            <w:noWrap/>
            <w:vAlign w:val="center"/>
            <w:hideMark/>
          </w:tcPr>
          <w:p w14:paraId="613B60DE" w14:textId="17B95D88" w:rsidR="00B868DC" w:rsidRDefault="00B868DC" w:rsidP="00B868DC">
            <w:pPr>
              <w:jc w:val="right"/>
              <w:rPr>
                <w:color w:val="000000"/>
              </w:rPr>
            </w:pPr>
            <w:r w:rsidRPr="00706E01">
              <w:rPr>
                <w:lang w:val="en-IE" w:eastAsia="en-IE"/>
              </w:rPr>
              <w:t>121</w:t>
            </w:r>
          </w:p>
        </w:tc>
        <w:tc>
          <w:tcPr>
            <w:tcW w:w="934" w:type="dxa"/>
            <w:tcBorders>
              <w:top w:val="nil"/>
              <w:left w:val="nil"/>
              <w:bottom w:val="single" w:sz="8" w:space="0" w:color="auto"/>
              <w:right w:val="single" w:sz="8" w:space="0" w:color="auto"/>
            </w:tcBorders>
            <w:shd w:val="clear" w:color="auto" w:fill="auto"/>
            <w:noWrap/>
            <w:vAlign w:val="center"/>
            <w:hideMark/>
          </w:tcPr>
          <w:p w14:paraId="3DFFFCC4" w14:textId="34621063" w:rsidR="00B868DC" w:rsidRDefault="00B868DC" w:rsidP="00B868DC">
            <w:pPr>
              <w:jc w:val="right"/>
              <w:rPr>
                <w:color w:val="000000"/>
              </w:rPr>
            </w:pPr>
            <w:r w:rsidRPr="00706E01">
              <w:rPr>
                <w:lang w:val="en-IE" w:eastAsia="en-IE"/>
              </w:rPr>
              <w:t>9</w:t>
            </w:r>
            <w:r w:rsidR="00CD06F5">
              <w:rPr>
                <w:lang w:val="en-IE" w:eastAsia="en-IE"/>
              </w:rPr>
              <w:t>.</w:t>
            </w:r>
            <w:r w:rsidRPr="00706E01">
              <w:rPr>
                <w:lang w:val="en-IE" w:eastAsia="en-IE"/>
              </w:rPr>
              <w:t>6</w:t>
            </w:r>
          </w:p>
        </w:tc>
        <w:tc>
          <w:tcPr>
            <w:tcW w:w="986" w:type="dxa"/>
            <w:tcBorders>
              <w:top w:val="nil"/>
              <w:left w:val="nil"/>
              <w:bottom w:val="single" w:sz="8" w:space="0" w:color="auto"/>
              <w:right w:val="single" w:sz="8" w:space="0" w:color="auto"/>
            </w:tcBorders>
            <w:shd w:val="clear" w:color="auto" w:fill="auto"/>
            <w:noWrap/>
            <w:vAlign w:val="center"/>
            <w:hideMark/>
          </w:tcPr>
          <w:p w14:paraId="2090B60F" w14:textId="5A349C39" w:rsidR="00B868DC" w:rsidRDefault="00B868DC" w:rsidP="00B868DC">
            <w:pPr>
              <w:jc w:val="right"/>
              <w:rPr>
                <w:color w:val="000000"/>
              </w:rPr>
            </w:pPr>
            <w:r w:rsidRPr="00706E01">
              <w:rPr>
                <w:lang w:val="en-IE" w:eastAsia="en-IE"/>
              </w:rPr>
              <w:t>403</w:t>
            </w:r>
          </w:p>
        </w:tc>
        <w:tc>
          <w:tcPr>
            <w:tcW w:w="934" w:type="dxa"/>
            <w:tcBorders>
              <w:top w:val="nil"/>
              <w:left w:val="nil"/>
              <w:bottom w:val="single" w:sz="8" w:space="0" w:color="auto"/>
              <w:right w:val="single" w:sz="8" w:space="0" w:color="auto"/>
            </w:tcBorders>
            <w:shd w:val="clear" w:color="auto" w:fill="auto"/>
            <w:noWrap/>
            <w:vAlign w:val="center"/>
            <w:hideMark/>
          </w:tcPr>
          <w:p w14:paraId="6AA52288" w14:textId="2E239C6E" w:rsidR="00B868DC" w:rsidRDefault="00B868DC" w:rsidP="00B868DC">
            <w:pPr>
              <w:jc w:val="right"/>
              <w:rPr>
                <w:color w:val="000000"/>
              </w:rPr>
            </w:pPr>
            <w:r w:rsidRPr="00706E01">
              <w:rPr>
                <w:lang w:val="en-IE" w:eastAsia="en-IE"/>
              </w:rPr>
              <w:t>4</w:t>
            </w:r>
            <w:r w:rsidR="00CD06F5">
              <w:rPr>
                <w:lang w:val="en-IE" w:eastAsia="en-IE"/>
              </w:rPr>
              <w:t>.</w:t>
            </w:r>
            <w:r w:rsidRPr="00706E01">
              <w:rPr>
                <w:lang w:val="en-IE" w:eastAsia="en-IE"/>
              </w:rPr>
              <w:t>0</w:t>
            </w:r>
          </w:p>
        </w:tc>
        <w:tc>
          <w:tcPr>
            <w:tcW w:w="986" w:type="dxa"/>
            <w:tcBorders>
              <w:top w:val="nil"/>
              <w:left w:val="nil"/>
              <w:bottom w:val="single" w:sz="8" w:space="0" w:color="auto"/>
              <w:right w:val="single" w:sz="8" w:space="0" w:color="auto"/>
            </w:tcBorders>
            <w:shd w:val="clear" w:color="auto" w:fill="auto"/>
            <w:noWrap/>
            <w:vAlign w:val="center"/>
            <w:hideMark/>
          </w:tcPr>
          <w:p w14:paraId="5C2AA760" w14:textId="31055C7E" w:rsidR="00B868DC" w:rsidRDefault="00B868DC" w:rsidP="00B868DC">
            <w:pPr>
              <w:jc w:val="right"/>
              <w:rPr>
                <w:color w:val="000000"/>
              </w:rPr>
            </w:pPr>
            <w:r w:rsidRPr="00706E01">
              <w:rPr>
                <w:lang w:val="en-IE" w:eastAsia="en-IE"/>
              </w:rPr>
              <w:t>166</w:t>
            </w:r>
          </w:p>
        </w:tc>
      </w:tr>
      <w:tr w:rsidR="00B868DC" w14:paraId="5FE2F984" w14:textId="77777777" w:rsidTr="00732F97">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770457E0" w14:textId="77777777" w:rsidR="00B868DC" w:rsidRDefault="00B868DC" w:rsidP="00B868DC">
            <w:pPr>
              <w:jc w:val="right"/>
              <w:rPr>
                <w:color w:val="000000"/>
              </w:rPr>
            </w:pPr>
            <w:r>
              <w:rPr>
                <w:color w:val="000000"/>
              </w:rPr>
              <w:t>2055</w:t>
            </w:r>
          </w:p>
        </w:tc>
        <w:tc>
          <w:tcPr>
            <w:tcW w:w="925" w:type="dxa"/>
            <w:tcBorders>
              <w:top w:val="nil"/>
              <w:left w:val="nil"/>
              <w:bottom w:val="single" w:sz="8" w:space="0" w:color="auto"/>
              <w:right w:val="single" w:sz="8" w:space="0" w:color="auto"/>
            </w:tcBorders>
            <w:shd w:val="clear" w:color="auto" w:fill="auto"/>
            <w:noWrap/>
            <w:vAlign w:val="center"/>
            <w:hideMark/>
          </w:tcPr>
          <w:p w14:paraId="7CAC2EF9" w14:textId="01BA990B" w:rsidR="00B868DC" w:rsidRPr="002361A6" w:rsidRDefault="00B868DC" w:rsidP="00B868DC">
            <w:pPr>
              <w:jc w:val="right"/>
            </w:pPr>
            <w:r w:rsidRPr="00706E01">
              <w:rPr>
                <w:lang w:val="en-IE" w:eastAsia="en-IE"/>
              </w:rPr>
              <w:t>23</w:t>
            </w:r>
            <w:r w:rsidR="00CD06F5">
              <w:rPr>
                <w:lang w:val="en-IE" w:eastAsia="en-IE"/>
              </w:rPr>
              <w:t>.</w:t>
            </w:r>
            <w:r w:rsidRPr="00706E01">
              <w:rPr>
                <w:lang w:val="en-IE" w:eastAsia="en-IE"/>
              </w:rPr>
              <w:t>8</w:t>
            </w:r>
          </w:p>
        </w:tc>
        <w:tc>
          <w:tcPr>
            <w:tcW w:w="975" w:type="dxa"/>
            <w:tcBorders>
              <w:top w:val="nil"/>
              <w:left w:val="nil"/>
              <w:bottom w:val="single" w:sz="8" w:space="0" w:color="auto"/>
              <w:right w:val="single" w:sz="8" w:space="0" w:color="auto"/>
            </w:tcBorders>
            <w:shd w:val="clear" w:color="auto" w:fill="auto"/>
            <w:noWrap/>
            <w:vAlign w:val="center"/>
            <w:hideMark/>
          </w:tcPr>
          <w:p w14:paraId="7492F75F" w14:textId="6C0B4BA8" w:rsidR="00B868DC" w:rsidRPr="002361A6" w:rsidRDefault="00B868DC" w:rsidP="00B868DC">
            <w:pPr>
              <w:jc w:val="right"/>
            </w:pPr>
            <w:r w:rsidRPr="00706E01">
              <w:rPr>
                <w:lang w:val="en-IE" w:eastAsia="en-IE"/>
              </w:rPr>
              <w:t>996</w:t>
            </w:r>
          </w:p>
        </w:tc>
        <w:tc>
          <w:tcPr>
            <w:tcW w:w="1080" w:type="dxa"/>
            <w:tcBorders>
              <w:top w:val="nil"/>
              <w:left w:val="nil"/>
              <w:bottom w:val="single" w:sz="8" w:space="0" w:color="auto"/>
              <w:right w:val="single" w:sz="8" w:space="0" w:color="auto"/>
            </w:tcBorders>
            <w:shd w:val="clear" w:color="auto" w:fill="auto"/>
            <w:noWrap/>
            <w:vAlign w:val="center"/>
            <w:hideMark/>
          </w:tcPr>
          <w:p w14:paraId="4528ED86" w14:textId="3E613F46" w:rsidR="00B868DC" w:rsidRPr="002361A6" w:rsidRDefault="00B868DC" w:rsidP="00B868DC">
            <w:pPr>
              <w:jc w:val="right"/>
            </w:pPr>
            <w:r w:rsidRPr="00706E01">
              <w:rPr>
                <w:lang w:val="en-IE" w:eastAsia="en-IE"/>
              </w:rPr>
              <w:t>146</w:t>
            </w:r>
          </w:p>
        </w:tc>
        <w:tc>
          <w:tcPr>
            <w:tcW w:w="934" w:type="dxa"/>
            <w:tcBorders>
              <w:top w:val="nil"/>
              <w:left w:val="nil"/>
              <w:bottom w:val="single" w:sz="8" w:space="0" w:color="auto"/>
              <w:right w:val="single" w:sz="8" w:space="0" w:color="auto"/>
            </w:tcBorders>
            <w:shd w:val="clear" w:color="auto" w:fill="auto"/>
            <w:noWrap/>
            <w:vAlign w:val="center"/>
            <w:hideMark/>
          </w:tcPr>
          <w:p w14:paraId="4E2D0AD1" w14:textId="043CD375" w:rsidR="00B868DC" w:rsidRPr="002361A6" w:rsidRDefault="00B868DC" w:rsidP="00B868DC">
            <w:pPr>
              <w:jc w:val="right"/>
            </w:pPr>
            <w:r w:rsidRPr="00706E01">
              <w:rPr>
                <w:lang w:val="en-IE" w:eastAsia="en-IE"/>
              </w:rPr>
              <w:t>9</w:t>
            </w:r>
            <w:r w:rsidR="00CD06F5">
              <w:rPr>
                <w:lang w:val="en-IE" w:eastAsia="en-IE"/>
              </w:rPr>
              <w:t>.</w:t>
            </w:r>
            <w:r w:rsidRPr="00706E01">
              <w:rPr>
                <w:lang w:val="en-IE" w:eastAsia="en-IE"/>
              </w:rPr>
              <w:t>6</w:t>
            </w:r>
          </w:p>
        </w:tc>
        <w:tc>
          <w:tcPr>
            <w:tcW w:w="986" w:type="dxa"/>
            <w:tcBorders>
              <w:top w:val="nil"/>
              <w:left w:val="nil"/>
              <w:bottom w:val="single" w:sz="8" w:space="0" w:color="auto"/>
              <w:right w:val="single" w:sz="8" w:space="0" w:color="auto"/>
            </w:tcBorders>
            <w:shd w:val="clear" w:color="auto" w:fill="auto"/>
            <w:noWrap/>
            <w:vAlign w:val="center"/>
            <w:hideMark/>
          </w:tcPr>
          <w:p w14:paraId="3104C54D" w14:textId="1B968559" w:rsidR="00B868DC" w:rsidRPr="002361A6" w:rsidRDefault="00B868DC" w:rsidP="00B868DC">
            <w:pPr>
              <w:jc w:val="right"/>
            </w:pPr>
            <w:r w:rsidRPr="00706E01">
              <w:rPr>
                <w:lang w:val="en-IE" w:eastAsia="en-IE"/>
              </w:rPr>
              <w:t>403</w:t>
            </w:r>
          </w:p>
        </w:tc>
        <w:tc>
          <w:tcPr>
            <w:tcW w:w="934" w:type="dxa"/>
            <w:tcBorders>
              <w:top w:val="nil"/>
              <w:left w:val="nil"/>
              <w:bottom w:val="single" w:sz="8" w:space="0" w:color="auto"/>
              <w:right w:val="single" w:sz="8" w:space="0" w:color="auto"/>
            </w:tcBorders>
            <w:shd w:val="clear" w:color="auto" w:fill="auto"/>
            <w:noWrap/>
            <w:vAlign w:val="center"/>
            <w:hideMark/>
          </w:tcPr>
          <w:p w14:paraId="1F11D87E" w14:textId="34C72759" w:rsidR="00B868DC" w:rsidRPr="002361A6" w:rsidRDefault="00B868DC" w:rsidP="00B868DC">
            <w:pPr>
              <w:jc w:val="right"/>
            </w:pPr>
            <w:r w:rsidRPr="00706E01">
              <w:rPr>
                <w:lang w:val="en-IE" w:eastAsia="en-IE"/>
              </w:rPr>
              <w:t>4</w:t>
            </w:r>
            <w:r w:rsidR="00CD06F5">
              <w:rPr>
                <w:lang w:val="en-IE" w:eastAsia="en-IE"/>
              </w:rPr>
              <w:t>.</w:t>
            </w:r>
            <w:r w:rsidRPr="00706E01">
              <w:rPr>
                <w:lang w:val="en-IE" w:eastAsia="en-IE"/>
              </w:rPr>
              <w:t>1</w:t>
            </w:r>
          </w:p>
        </w:tc>
        <w:tc>
          <w:tcPr>
            <w:tcW w:w="986" w:type="dxa"/>
            <w:tcBorders>
              <w:top w:val="nil"/>
              <w:left w:val="nil"/>
              <w:bottom w:val="single" w:sz="8" w:space="0" w:color="auto"/>
              <w:right w:val="single" w:sz="8" w:space="0" w:color="auto"/>
            </w:tcBorders>
            <w:shd w:val="clear" w:color="auto" w:fill="auto"/>
            <w:noWrap/>
            <w:vAlign w:val="center"/>
            <w:hideMark/>
          </w:tcPr>
          <w:p w14:paraId="0AAB1220" w14:textId="7A44458C" w:rsidR="00B868DC" w:rsidRPr="002361A6" w:rsidRDefault="00B868DC" w:rsidP="00B868DC">
            <w:pPr>
              <w:jc w:val="right"/>
            </w:pPr>
            <w:r w:rsidRPr="00706E01">
              <w:rPr>
                <w:lang w:val="en-IE" w:eastAsia="en-IE"/>
              </w:rPr>
              <w:t>170</w:t>
            </w:r>
          </w:p>
        </w:tc>
      </w:tr>
    </w:tbl>
    <w:p w14:paraId="3ECE1BA4" w14:textId="30522C75" w:rsidR="004D73A4" w:rsidRPr="00AC4210" w:rsidRDefault="004D73A4" w:rsidP="0E54249B">
      <w:pPr>
        <w:rPr>
          <w:i/>
          <w:sz w:val="18"/>
          <w:szCs w:val="22"/>
          <w:lang w:val="en-US"/>
        </w:rPr>
      </w:pPr>
      <w:r w:rsidRPr="00AC4210">
        <w:rPr>
          <w:i/>
          <w:sz w:val="18"/>
          <w:szCs w:val="22"/>
          <w:lang w:val="en-US"/>
        </w:rPr>
        <w:t>Note: *</w:t>
      </w:r>
      <w:r w:rsidR="00F720AB" w:rsidRPr="00AC4210">
        <w:rPr>
          <w:i/>
          <w:sz w:val="18"/>
          <w:szCs w:val="22"/>
          <w:lang w:val="en-US"/>
        </w:rPr>
        <w:t xml:space="preserve"> 2018-202</w:t>
      </w:r>
      <w:r w:rsidR="00E45FBA">
        <w:rPr>
          <w:i/>
          <w:sz w:val="18"/>
          <w:szCs w:val="22"/>
          <w:lang w:val="en-US"/>
        </w:rPr>
        <w:t>3</w:t>
      </w:r>
      <w:r w:rsidRPr="00AC4210">
        <w:rPr>
          <w:i/>
          <w:sz w:val="18"/>
          <w:szCs w:val="22"/>
          <w:lang w:val="en-US"/>
        </w:rPr>
        <w:t xml:space="preserve"> data are yearly average of daily value </w:t>
      </w:r>
      <w:r w:rsidR="00427300" w:rsidRPr="00AC4210">
        <w:rPr>
          <w:i/>
          <w:sz w:val="18"/>
          <w:szCs w:val="22"/>
          <w:lang w:val="en-US"/>
        </w:rPr>
        <w:t xml:space="preserve">expressed in current EUR </w:t>
      </w:r>
      <w:r w:rsidRPr="00AC4210">
        <w:rPr>
          <w:i/>
          <w:sz w:val="18"/>
          <w:szCs w:val="22"/>
          <w:lang w:val="en-US"/>
        </w:rPr>
        <w:t>of dated Brent for oil, TTF day ahead for gas, steam coal CIF ARA 6000k for coal.</w:t>
      </w:r>
      <w:r w:rsidR="00427300" w:rsidRPr="00AC4210">
        <w:rPr>
          <w:i/>
          <w:sz w:val="18"/>
          <w:szCs w:val="22"/>
          <w:lang w:val="en-US"/>
        </w:rPr>
        <w:t xml:space="preserve"> The conversion from current EUR to EUR20</w:t>
      </w:r>
      <w:r w:rsidR="00EE3662">
        <w:rPr>
          <w:i/>
          <w:sz w:val="18"/>
          <w:szCs w:val="22"/>
          <w:lang w:val="en-US"/>
        </w:rPr>
        <w:t>2</w:t>
      </w:r>
      <w:r w:rsidR="003A7B60">
        <w:rPr>
          <w:i/>
          <w:sz w:val="18"/>
          <w:szCs w:val="22"/>
          <w:lang w:val="en-US"/>
        </w:rPr>
        <w:t>3</w:t>
      </w:r>
      <w:r w:rsidR="00427300" w:rsidRPr="00AC4210">
        <w:rPr>
          <w:i/>
          <w:sz w:val="18"/>
          <w:szCs w:val="22"/>
          <w:lang w:val="en-US"/>
        </w:rPr>
        <w:t xml:space="preserve"> uses the ESTAT HICP index (data extracted in </w:t>
      </w:r>
      <w:r w:rsidR="00427300" w:rsidRPr="0E54249B">
        <w:rPr>
          <w:i/>
          <w:iCs/>
          <w:sz w:val="18"/>
          <w:szCs w:val="18"/>
          <w:lang w:val="en-US"/>
        </w:rPr>
        <w:t>M</w:t>
      </w:r>
      <w:r w:rsidR="461D700D" w:rsidRPr="0E54249B">
        <w:rPr>
          <w:i/>
          <w:iCs/>
          <w:sz w:val="18"/>
          <w:szCs w:val="18"/>
          <w:lang w:val="en-US"/>
        </w:rPr>
        <w:t xml:space="preserve">arch </w:t>
      </w:r>
      <w:r w:rsidR="00427300" w:rsidRPr="0E54249B">
        <w:rPr>
          <w:i/>
          <w:iCs/>
          <w:sz w:val="18"/>
          <w:szCs w:val="18"/>
          <w:lang w:val="en-US"/>
        </w:rPr>
        <w:t>202</w:t>
      </w:r>
      <w:r w:rsidR="53D54A48" w:rsidRPr="0E54249B">
        <w:rPr>
          <w:i/>
          <w:iCs/>
          <w:sz w:val="18"/>
          <w:szCs w:val="18"/>
          <w:lang w:val="en-US"/>
        </w:rPr>
        <w:t>4</w:t>
      </w:r>
      <w:r w:rsidR="00427300" w:rsidRPr="00AC4210">
        <w:rPr>
          <w:i/>
          <w:sz w:val="18"/>
          <w:szCs w:val="22"/>
          <w:lang w:val="en-US"/>
        </w:rPr>
        <w:t>).</w:t>
      </w:r>
    </w:p>
    <w:p w14:paraId="04072EA2" w14:textId="77777777" w:rsidR="004D73A4" w:rsidRDefault="004D73A4" w:rsidP="004D73A4">
      <w:pPr>
        <w:rPr>
          <w:i/>
          <w:sz w:val="20"/>
          <w:szCs w:val="22"/>
          <w:lang w:val="en-US" w:eastAsia="en-US"/>
        </w:rPr>
      </w:pPr>
    </w:p>
    <w:p w14:paraId="6ABA6E42" w14:textId="4D7A4157" w:rsidR="0084377C" w:rsidRDefault="00351A98" w:rsidP="004D73A4">
      <w:pPr>
        <w:rPr>
          <w:sz w:val="22"/>
          <w:szCs w:val="22"/>
        </w:rPr>
      </w:pPr>
      <w:r>
        <w:rPr>
          <w:sz w:val="22"/>
          <w:szCs w:val="22"/>
        </w:rPr>
        <w:fldChar w:fldCharType="begin"/>
      </w:r>
      <w:r>
        <w:rPr>
          <w:sz w:val="22"/>
          <w:szCs w:val="22"/>
        </w:rPr>
        <w:instrText xml:space="preserve"> REF _Ref161235282 \h  \* MERGEFORMAT </w:instrText>
      </w:r>
      <w:r>
        <w:rPr>
          <w:sz w:val="22"/>
          <w:szCs w:val="22"/>
        </w:rPr>
      </w:r>
      <w:r>
        <w:rPr>
          <w:sz w:val="22"/>
          <w:szCs w:val="22"/>
        </w:rPr>
        <w:fldChar w:fldCharType="separate"/>
      </w:r>
      <w:r w:rsidRPr="00351A98">
        <w:rPr>
          <w:sz w:val="22"/>
          <w:szCs w:val="22"/>
        </w:rPr>
        <w:t>Table 2</w:t>
      </w:r>
      <w:r>
        <w:rPr>
          <w:sz w:val="22"/>
          <w:szCs w:val="22"/>
        </w:rPr>
        <w:fldChar w:fldCharType="end"/>
      </w:r>
      <w:r>
        <w:rPr>
          <w:sz w:val="22"/>
          <w:szCs w:val="22"/>
        </w:rPr>
        <w:t xml:space="preserve"> </w:t>
      </w:r>
      <w:r w:rsidR="004D7EC1" w:rsidRPr="00AC4210">
        <w:rPr>
          <w:sz w:val="22"/>
          <w:szCs w:val="22"/>
        </w:rPr>
        <w:t xml:space="preserve">shows </w:t>
      </w:r>
      <w:r w:rsidR="004D7EC1">
        <w:rPr>
          <w:sz w:val="22"/>
          <w:szCs w:val="22"/>
        </w:rPr>
        <w:t>the proposed</w:t>
      </w:r>
      <w:r w:rsidR="004D7EC1" w:rsidRPr="00AC4210">
        <w:rPr>
          <w:sz w:val="22"/>
          <w:szCs w:val="22"/>
        </w:rPr>
        <w:t xml:space="preserve"> range for the international gas price trajectory.</w:t>
      </w:r>
    </w:p>
    <w:p w14:paraId="103BBAB0" w14:textId="77777777" w:rsidR="00351A98" w:rsidRDefault="00351A98" w:rsidP="004D73A4">
      <w:pPr>
        <w:rPr>
          <w:sz w:val="22"/>
          <w:szCs w:val="22"/>
        </w:rPr>
      </w:pPr>
    </w:p>
    <w:p w14:paraId="117A0EB8" w14:textId="2D35A2F4" w:rsidR="0084377C" w:rsidRPr="00351A98" w:rsidRDefault="00351A98" w:rsidP="00351A98">
      <w:pPr>
        <w:pStyle w:val="Caption"/>
        <w:rPr>
          <w:i/>
          <w:sz w:val="20"/>
          <w:szCs w:val="22"/>
          <w:lang w:val="en-US"/>
        </w:rPr>
      </w:pPr>
      <w:bookmarkStart w:id="2" w:name="_Ref161235282"/>
      <w:r>
        <w:t xml:space="preserve">Table </w:t>
      </w:r>
      <w:r>
        <w:fldChar w:fldCharType="begin"/>
      </w:r>
      <w:r>
        <w:instrText xml:space="preserve"> SEQ Table \* ARABIC </w:instrText>
      </w:r>
      <w:r>
        <w:fldChar w:fldCharType="separate"/>
      </w:r>
      <w:r>
        <w:rPr>
          <w:noProof/>
        </w:rPr>
        <w:t>2</w:t>
      </w:r>
      <w:r>
        <w:fldChar w:fldCharType="end"/>
      </w:r>
      <w:bookmarkEnd w:id="2"/>
      <w:r>
        <w:t xml:space="preserve">. </w:t>
      </w:r>
      <w:r w:rsidRPr="004D73A4">
        <w:rPr>
          <w:rFonts w:ascii="Times New Roman" w:hAnsi="Times New Roman"/>
        </w:rPr>
        <w:t>Proposed range for the gas price trajectory</w:t>
      </w:r>
      <w:r>
        <w:rPr>
          <w:rFonts w:ascii="Times New Roman" w:hAnsi="Times New Roman"/>
        </w:rPr>
        <w:t xml:space="preserve"> (EUR2023)</w:t>
      </w:r>
    </w:p>
    <w:tbl>
      <w:tblPr>
        <w:tblW w:w="5016" w:type="dxa"/>
        <w:tblInd w:w="118" w:type="dxa"/>
        <w:tblLook w:val="04A0" w:firstRow="1" w:lastRow="0" w:firstColumn="1" w:lastColumn="0" w:noHBand="0" w:noVBand="1"/>
      </w:tblPr>
      <w:tblGrid>
        <w:gridCol w:w="1176"/>
        <w:gridCol w:w="934"/>
        <w:gridCol w:w="986"/>
        <w:gridCol w:w="880"/>
        <w:gridCol w:w="1040"/>
      </w:tblGrid>
      <w:tr w:rsidR="0084377C" w14:paraId="1300D539" w14:textId="77777777" w:rsidTr="005C04FC">
        <w:trPr>
          <w:trHeight w:val="330"/>
        </w:trPr>
        <w:tc>
          <w:tcPr>
            <w:tcW w:w="11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937280" w14:textId="77777777" w:rsidR="0084377C" w:rsidRDefault="0084377C" w:rsidP="00732F97">
            <w:pPr>
              <w:rPr>
                <w:color w:val="000000"/>
                <w:lang w:eastAsia="en-IE"/>
              </w:rPr>
            </w:pPr>
            <w:r>
              <w:rPr>
                <w:color w:val="000000"/>
              </w:rPr>
              <w:t>EUR2023</w:t>
            </w:r>
          </w:p>
        </w:tc>
        <w:tc>
          <w:tcPr>
            <w:tcW w:w="19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D9C612E" w14:textId="77777777" w:rsidR="0084377C" w:rsidRDefault="0084377C" w:rsidP="00732F97">
            <w:pPr>
              <w:jc w:val="center"/>
              <w:rPr>
                <w:color w:val="000000"/>
              </w:rPr>
            </w:pPr>
            <w:r>
              <w:rPr>
                <w:color w:val="000000"/>
              </w:rPr>
              <w:t>Gas (min)</w:t>
            </w:r>
          </w:p>
        </w:tc>
        <w:tc>
          <w:tcPr>
            <w:tcW w:w="19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34902E5" w14:textId="77777777" w:rsidR="0084377C" w:rsidRDefault="0084377C" w:rsidP="00732F97">
            <w:pPr>
              <w:jc w:val="center"/>
              <w:rPr>
                <w:color w:val="000000"/>
              </w:rPr>
            </w:pPr>
            <w:r>
              <w:rPr>
                <w:color w:val="000000"/>
              </w:rPr>
              <w:t>Gas (Max)</w:t>
            </w:r>
          </w:p>
        </w:tc>
      </w:tr>
      <w:tr w:rsidR="0084377C" w14:paraId="2C0D8583" w14:textId="77777777" w:rsidTr="005C04FC">
        <w:trPr>
          <w:trHeight w:val="330"/>
        </w:trPr>
        <w:tc>
          <w:tcPr>
            <w:tcW w:w="1176" w:type="dxa"/>
            <w:vMerge/>
            <w:tcBorders>
              <w:top w:val="single" w:sz="8" w:space="0" w:color="auto"/>
              <w:left w:val="single" w:sz="8" w:space="0" w:color="auto"/>
              <w:bottom w:val="single" w:sz="8" w:space="0" w:color="000000"/>
              <w:right w:val="single" w:sz="8" w:space="0" w:color="auto"/>
            </w:tcBorders>
            <w:vAlign w:val="center"/>
            <w:hideMark/>
          </w:tcPr>
          <w:p w14:paraId="2200B0DE" w14:textId="77777777" w:rsidR="0084377C" w:rsidRDefault="0084377C" w:rsidP="00732F97">
            <w:pPr>
              <w:rPr>
                <w:color w:val="000000"/>
              </w:rPr>
            </w:pPr>
          </w:p>
        </w:tc>
        <w:tc>
          <w:tcPr>
            <w:tcW w:w="934" w:type="dxa"/>
            <w:tcBorders>
              <w:top w:val="nil"/>
              <w:left w:val="nil"/>
              <w:bottom w:val="single" w:sz="8" w:space="0" w:color="auto"/>
              <w:right w:val="single" w:sz="8" w:space="0" w:color="auto"/>
            </w:tcBorders>
            <w:shd w:val="clear" w:color="auto" w:fill="auto"/>
            <w:noWrap/>
            <w:vAlign w:val="center"/>
            <w:hideMark/>
          </w:tcPr>
          <w:p w14:paraId="0F8E013A" w14:textId="77777777" w:rsidR="0084377C" w:rsidRDefault="0084377C" w:rsidP="00732F97">
            <w:pPr>
              <w:rPr>
                <w:color w:val="000000"/>
              </w:rPr>
            </w:pPr>
            <w:r>
              <w:rPr>
                <w:color w:val="000000"/>
              </w:rPr>
              <w:t>€/GJ</w:t>
            </w:r>
          </w:p>
        </w:tc>
        <w:tc>
          <w:tcPr>
            <w:tcW w:w="986" w:type="dxa"/>
            <w:tcBorders>
              <w:top w:val="nil"/>
              <w:left w:val="nil"/>
              <w:bottom w:val="single" w:sz="8" w:space="0" w:color="auto"/>
              <w:right w:val="single" w:sz="8" w:space="0" w:color="auto"/>
            </w:tcBorders>
            <w:shd w:val="clear" w:color="auto" w:fill="auto"/>
            <w:noWrap/>
            <w:vAlign w:val="center"/>
            <w:hideMark/>
          </w:tcPr>
          <w:p w14:paraId="55D1D9F9" w14:textId="77777777" w:rsidR="0084377C" w:rsidRDefault="0084377C" w:rsidP="00732F97">
            <w:pPr>
              <w:rPr>
                <w:color w:val="000000"/>
              </w:rPr>
            </w:pPr>
            <w:r>
              <w:rPr>
                <w:color w:val="000000"/>
              </w:rPr>
              <w:t>€/toe</w:t>
            </w:r>
          </w:p>
        </w:tc>
        <w:tc>
          <w:tcPr>
            <w:tcW w:w="880" w:type="dxa"/>
            <w:tcBorders>
              <w:top w:val="nil"/>
              <w:left w:val="nil"/>
              <w:bottom w:val="single" w:sz="8" w:space="0" w:color="auto"/>
              <w:right w:val="single" w:sz="8" w:space="0" w:color="auto"/>
            </w:tcBorders>
            <w:shd w:val="clear" w:color="auto" w:fill="auto"/>
            <w:noWrap/>
            <w:vAlign w:val="center"/>
            <w:hideMark/>
          </w:tcPr>
          <w:p w14:paraId="6EA3FF5E" w14:textId="77777777" w:rsidR="0084377C" w:rsidRDefault="0084377C" w:rsidP="00732F97">
            <w:pPr>
              <w:rPr>
                <w:color w:val="000000"/>
              </w:rPr>
            </w:pPr>
            <w:r>
              <w:rPr>
                <w:color w:val="000000"/>
              </w:rPr>
              <w:t>€/GJ</w:t>
            </w:r>
          </w:p>
        </w:tc>
        <w:tc>
          <w:tcPr>
            <w:tcW w:w="1040" w:type="dxa"/>
            <w:tcBorders>
              <w:top w:val="nil"/>
              <w:left w:val="nil"/>
              <w:bottom w:val="single" w:sz="8" w:space="0" w:color="auto"/>
              <w:right w:val="single" w:sz="8" w:space="0" w:color="auto"/>
            </w:tcBorders>
            <w:shd w:val="clear" w:color="auto" w:fill="auto"/>
            <w:noWrap/>
            <w:vAlign w:val="center"/>
            <w:hideMark/>
          </w:tcPr>
          <w:p w14:paraId="2488B827" w14:textId="77777777" w:rsidR="0084377C" w:rsidRDefault="0084377C" w:rsidP="00732F97">
            <w:pPr>
              <w:rPr>
                <w:color w:val="000000"/>
              </w:rPr>
            </w:pPr>
            <w:r>
              <w:rPr>
                <w:color w:val="000000"/>
              </w:rPr>
              <w:t>€/toe</w:t>
            </w:r>
          </w:p>
        </w:tc>
      </w:tr>
      <w:tr w:rsidR="005C04FC" w14:paraId="6B741952" w14:textId="77777777" w:rsidTr="005C04FC">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1DC7C829" w14:textId="77777777" w:rsidR="005C04FC" w:rsidRDefault="005C04FC" w:rsidP="005C04FC">
            <w:pPr>
              <w:jc w:val="right"/>
              <w:rPr>
                <w:color w:val="000000"/>
              </w:rPr>
            </w:pPr>
            <w:r>
              <w:rPr>
                <w:color w:val="000000"/>
              </w:rPr>
              <w:t>2025</w:t>
            </w:r>
          </w:p>
        </w:tc>
        <w:tc>
          <w:tcPr>
            <w:tcW w:w="934" w:type="dxa"/>
            <w:tcBorders>
              <w:top w:val="nil"/>
              <w:left w:val="nil"/>
              <w:bottom w:val="single" w:sz="8" w:space="0" w:color="auto"/>
              <w:right w:val="single" w:sz="8" w:space="0" w:color="auto"/>
            </w:tcBorders>
            <w:shd w:val="clear" w:color="auto" w:fill="auto"/>
            <w:noWrap/>
            <w:vAlign w:val="center"/>
            <w:hideMark/>
          </w:tcPr>
          <w:p w14:paraId="14569102" w14:textId="665B6A1D" w:rsidR="005C04FC" w:rsidRDefault="005C04FC" w:rsidP="005C04FC">
            <w:pPr>
              <w:jc w:val="right"/>
              <w:rPr>
                <w:color w:val="000000"/>
              </w:rPr>
            </w:pPr>
            <w:r w:rsidRPr="00706E01">
              <w:rPr>
                <w:lang w:val="en-IE" w:eastAsia="en-IE"/>
              </w:rPr>
              <w:t>9</w:t>
            </w:r>
            <w:r w:rsidR="00CD06F5">
              <w:rPr>
                <w:lang w:val="en-IE" w:eastAsia="en-IE"/>
              </w:rPr>
              <w:t>.</w:t>
            </w:r>
            <w:r w:rsidRPr="00706E01">
              <w:rPr>
                <w:lang w:val="en-IE" w:eastAsia="en-IE"/>
              </w:rPr>
              <w:t>4</w:t>
            </w:r>
          </w:p>
        </w:tc>
        <w:tc>
          <w:tcPr>
            <w:tcW w:w="986" w:type="dxa"/>
            <w:tcBorders>
              <w:top w:val="nil"/>
              <w:left w:val="nil"/>
              <w:bottom w:val="single" w:sz="8" w:space="0" w:color="auto"/>
              <w:right w:val="single" w:sz="8" w:space="0" w:color="auto"/>
            </w:tcBorders>
            <w:shd w:val="clear" w:color="auto" w:fill="auto"/>
            <w:noWrap/>
            <w:vAlign w:val="center"/>
            <w:hideMark/>
          </w:tcPr>
          <w:p w14:paraId="5805B179" w14:textId="703ABC0B" w:rsidR="005C04FC" w:rsidRDefault="005C04FC" w:rsidP="005C04FC">
            <w:pPr>
              <w:jc w:val="right"/>
              <w:rPr>
                <w:color w:val="000000"/>
              </w:rPr>
            </w:pPr>
            <w:r w:rsidRPr="00706E01">
              <w:rPr>
                <w:lang w:val="en-IE" w:eastAsia="en-IE"/>
              </w:rPr>
              <w:t>394</w:t>
            </w:r>
          </w:p>
        </w:tc>
        <w:tc>
          <w:tcPr>
            <w:tcW w:w="880" w:type="dxa"/>
            <w:tcBorders>
              <w:top w:val="nil"/>
              <w:left w:val="nil"/>
              <w:bottom w:val="single" w:sz="8" w:space="0" w:color="auto"/>
              <w:right w:val="single" w:sz="8" w:space="0" w:color="auto"/>
            </w:tcBorders>
            <w:shd w:val="clear" w:color="auto" w:fill="auto"/>
            <w:noWrap/>
            <w:vAlign w:val="center"/>
            <w:hideMark/>
          </w:tcPr>
          <w:p w14:paraId="6D764E30" w14:textId="2376C343" w:rsidR="005C04FC" w:rsidRDefault="005C04FC" w:rsidP="005C04FC">
            <w:pPr>
              <w:jc w:val="right"/>
              <w:rPr>
                <w:color w:val="000000"/>
              </w:rPr>
            </w:pPr>
            <w:r w:rsidRPr="00706E01">
              <w:rPr>
                <w:lang w:val="en-IE" w:eastAsia="en-IE"/>
              </w:rPr>
              <w:t>9</w:t>
            </w:r>
            <w:r w:rsidR="00CD06F5">
              <w:rPr>
                <w:lang w:val="en-IE" w:eastAsia="en-IE"/>
              </w:rPr>
              <w:t>.</w:t>
            </w:r>
            <w:r w:rsidRPr="00706E01">
              <w:rPr>
                <w:lang w:val="en-IE" w:eastAsia="en-IE"/>
              </w:rPr>
              <w:t>4</w:t>
            </w:r>
          </w:p>
        </w:tc>
        <w:tc>
          <w:tcPr>
            <w:tcW w:w="1040" w:type="dxa"/>
            <w:tcBorders>
              <w:top w:val="nil"/>
              <w:left w:val="nil"/>
              <w:bottom w:val="single" w:sz="8" w:space="0" w:color="auto"/>
              <w:right w:val="single" w:sz="8" w:space="0" w:color="auto"/>
            </w:tcBorders>
            <w:shd w:val="clear" w:color="auto" w:fill="auto"/>
            <w:noWrap/>
            <w:vAlign w:val="center"/>
            <w:hideMark/>
          </w:tcPr>
          <w:p w14:paraId="6EA28278" w14:textId="4AEAF2BF" w:rsidR="005C04FC" w:rsidRDefault="005C04FC" w:rsidP="005C04FC">
            <w:pPr>
              <w:jc w:val="right"/>
              <w:rPr>
                <w:color w:val="000000"/>
              </w:rPr>
            </w:pPr>
            <w:r w:rsidRPr="00706E01">
              <w:rPr>
                <w:lang w:val="en-IE" w:eastAsia="en-IE"/>
              </w:rPr>
              <w:t>394</w:t>
            </w:r>
            <w:r w:rsidR="00CD06F5">
              <w:rPr>
                <w:lang w:val="en-IE" w:eastAsia="en-IE"/>
              </w:rPr>
              <w:t>.</w:t>
            </w:r>
            <w:r w:rsidRPr="00706E01">
              <w:rPr>
                <w:lang w:val="en-IE" w:eastAsia="en-IE"/>
              </w:rPr>
              <w:t>1</w:t>
            </w:r>
          </w:p>
        </w:tc>
      </w:tr>
      <w:tr w:rsidR="005C04FC" w14:paraId="11A4BCAF" w14:textId="77777777" w:rsidTr="005C04FC">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5FFC5600" w14:textId="77777777" w:rsidR="005C04FC" w:rsidRDefault="005C04FC" w:rsidP="005C04FC">
            <w:pPr>
              <w:jc w:val="right"/>
              <w:rPr>
                <w:color w:val="000000"/>
              </w:rPr>
            </w:pPr>
            <w:r>
              <w:rPr>
                <w:color w:val="000000"/>
              </w:rPr>
              <w:t>2030</w:t>
            </w:r>
          </w:p>
        </w:tc>
        <w:tc>
          <w:tcPr>
            <w:tcW w:w="934" w:type="dxa"/>
            <w:tcBorders>
              <w:top w:val="nil"/>
              <w:left w:val="nil"/>
              <w:bottom w:val="single" w:sz="8" w:space="0" w:color="auto"/>
              <w:right w:val="single" w:sz="8" w:space="0" w:color="auto"/>
            </w:tcBorders>
            <w:shd w:val="clear" w:color="auto" w:fill="auto"/>
            <w:noWrap/>
            <w:vAlign w:val="center"/>
            <w:hideMark/>
          </w:tcPr>
          <w:p w14:paraId="6E7C1789" w14:textId="71A01815" w:rsidR="005C04FC" w:rsidRDefault="005C04FC" w:rsidP="005C04FC">
            <w:pPr>
              <w:jc w:val="right"/>
              <w:rPr>
                <w:color w:val="000000"/>
              </w:rPr>
            </w:pPr>
            <w:r w:rsidRPr="00706E01">
              <w:rPr>
                <w:lang w:val="en-IE" w:eastAsia="en-IE"/>
              </w:rPr>
              <w:t>6</w:t>
            </w:r>
            <w:r w:rsidR="00CD06F5">
              <w:rPr>
                <w:lang w:val="en-IE" w:eastAsia="en-IE"/>
              </w:rPr>
              <w:t>.</w:t>
            </w:r>
            <w:r w:rsidRPr="00706E01">
              <w:rPr>
                <w:lang w:val="en-IE" w:eastAsia="en-IE"/>
              </w:rPr>
              <w:t>8</w:t>
            </w:r>
          </w:p>
        </w:tc>
        <w:tc>
          <w:tcPr>
            <w:tcW w:w="986" w:type="dxa"/>
            <w:tcBorders>
              <w:top w:val="nil"/>
              <w:left w:val="nil"/>
              <w:bottom w:val="single" w:sz="8" w:space="0" w:color="auto"/>
              <w:right w:val="single" w:sz="8" w:space="0" w:color="auto"/>
            </w:tcBorders>
            <w:shd w:val="clear" w:color="auto" w:fill="auto"/>
            <w:noWrap/>
            <w:vAlign w:val="center"/>
            <w:hideMark/>
          </w:tcPr>
          <w:p w14:paraId="299FE54C" w14:textId="37BB8FA9" w:rsidR="005C04FC" w:rsidRDefault="005C04FC" w:rsidP="005C04FC">
            <w:pPr>
              <w:jc w:val="right"/>
              <w:rPr>
                <w:color w:val="000000"/>
              </w:rPr>
            </w:pPr>
            <w:r w:rsidRPr="00706E01">
              <w:rPr>
                <w:lang w:val="en-IE" w:eastAsia="en-IE"/>
              </w:rPr>
              <w:t>284</w:t>
            </w:r>
          </w:p>
        </w:tc>
        <w:tc>
          <w:tcPr>
            <w:tcW w:w="880" w:type="dxa"/>
            <w:tcBorders>
              <w:top w:val="nil"/>
              <w:left w:val="nil"/>
              <w:bottom w:val="single" w:sz="8" w:space="0" w:color="auto"/>
              <w:right w:val="single" w:sz="8" w:space="0" w:color="auto"/>
            </w:tcBorders>
            <w:shd w:val="clear" w:color="auto" w:fill="auto"/>
            <w:noWrap/>
            <w:vAlign w:val="center"/>
            <w:hideMark/>
          </w:tcPr>
          <w:p w14:paraId="762C5844" w14:textId="59677CEB" w:rsidR="005C04FC" w:rsidRDefault="005C04FC" w:rsidP="005C04FC">
            <w:pPr>
              <w:jc w:val="right"/>
              <w:rPr>
                <w:color w:val="000000"/>
              </w:rPr>
            </w:pPr>
            <w:r w:rsidRPr="00706E01">
              <w:rPr>
                <w:lang w:val="en-IE" w:eastAsia="en-IE"/>
              </w:rPr>
              <w:t>12</w:t>
            </w:r>
            <w:r w:rsidR="00CD06F5">
              <w:rPr>
                <w:lang w:val="en-IE" w:eastAsia="en-IE"/>
              </w:rPr>
              <w:t>.</w:t>
            </w:r>
            <w:r w:rsidRPr="00706E01">
              <w:rPr>
                <w:lang w:val="en-IE" w:eastAsia="en-IE"/>
              </w:rPr>
              <w:t>6</w:t>
            </w:r>
          </w:p>
        </w:tc>
        <w:tc>
          <w:tcPr>
            <w:tcW w:w="1040" w:type="dxa"/>
            <w:tcBorders>
              <w:top w:val="nil"/>
              <w:left w:val="nil"/>
              <w:bottom w:val="single" w:sz="8" w:space="0" w:color="auto"/>
              <w:right w:val="single" w:sz="8" w:space="0" w:color="auto"/>
            </w:tcBorders>
            <w:shd w:val="clear" w:color="auto" w:fill="auto"/>
            <w:noWrap/>
            <w:vAlign w:val="center"/>
            <w:hideMark/>
          </w:tcPr>
          <w:p w14:paraId="1E4329BB" w14:textId="77D9873F" w:rsidR="005C04FC" w:rsidRDefault="005C04FC" w:rsidP="005C04FC">
            <w:pPr>
              <w:jc w:val="right"/>
              <w:rPr>
                <w:color w:val="000000"/>
              </w:rPr>
            </w:pPr>
            <w:r w:rsidRPr="00706E01">
              <w:rPr>
                <w:lang w:val="en-IE" w:eastAsia="en-IE"/>
              </w:rPr>
              <w:t>527</w:t>
            </w:r>
            <w:r w:rsidR="00CD06F5">
              <w:rPr>
                <w:lang w:val="en-IE" w:eastAsia="en-IE"/>
              </w:rPr>
              <w:t>.</w:t>
            </w:r>
            <w:r w:rsidRPr="00706E01">
              <w:rPr>
                <w:lang w:val="en-IE" w:eastAsia="en-IE"/>
              </w:rPr>
              <w:t>4</w:t>
            </w:r>
          </w:p>
        </w:tc>
      </w:tr>
      <w:tr w:rsidR="005C04FC" w14:paraId="4C7DA8DD" w14:textId="77777777" w:rsidTr="005C04FC">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77E73F91" w14:textId="77777777" w:rsidR="005C04FC" w:rsidRDefault="005C04FC" w:rsidP="005C04FC">
            <w:pPr>
              <w:jc w:val="right"/>
              <w:rPr>
                <w:color w:val="000000"/>
              </w:rPr>
            </w:pPr>
            <w:r>
              <w:rPr>
                <w:color w:val="000000"/>
              </w:rPr>
              <w:t>2035</w:t>
            </w:r>
          </w:p>
        </w:tc>
        <w:tc>
          <w:tcPr>
            <w:tcW w:w="934" w:type="dxa"/>
            <w:tcBorders>
              <w:top w:val="nil"/>
              <w:left w:val="nil"/>
              <w:bottom w:val="single" w:sz="8" w:space="0" w:color="auto"/>
              <w:right w:val="single" w:sz="8" w:space="0" w:color="auto"/>
            </w:tcBorders>
            <w:shd w:val="clear" w:color="auto" w:fill="auto"/>
            <w:noWrap/>
            <w:vAlign w:val="center"/>
            <w:hideMark/>
          </w:tcPr>
          <w:p w14:paraId="7D7E8E24" w14:textId="2618645F" w:rsidR="005C04FC" w:rsidRDefault="005C04FC" w:rsidP="005C04FC">
            <w:pPr>
              <w:jc w:val="right"/>
              <w:rPr>
                <w:color w:val="000000"/>
              </w:rPr>
            </w:pPr>
            <w:r w:rsidRPr="00706E01">
              <w:rPr>
                <w:lang w:val="en-IE" w:eastAsia="en-IE"/>
              </w:rPr>
              <w:t>6</w:t>
            </w:r>
            <w:r w:rsidR="00CD06F5">
              <w:rPr>
                <w:lang w:val="en-IE" w:eastAsia="en-IE"/>
              </w:rPr>
              <w:t>.</w:t>
            </w:r>
            <w:r w:rsidRPr="00706E01">
              <w:rPr>
                <w:lang w:val="en-IE" w:eastAsia="en-IE"/>
              </w:rPr>
              <w:t>6</w:t>
            </w:r>
          </w:p>
        </w:tc>
        <w:tc>
          <w:tcPr>
            <w:tcW w:w="986" w:type="dxa"/>
            <w:tcBorders>
              <w:top w:val="nil"/>
              <w:left w:val="nil"/>
              <w:bottom w:val="single" w:sz="8" w:space="0" w:color="auto"/>
              <w:right w:val="single" w:sz="8" w:space="0" w:color="auto"/>
            </w:tcBorders>
            <w:shd w:val="clear" w:color="auto" w:fill="auto"/>
            <w:noWrap/>
            <w:vAlign w:val="center"/>
            <w:hideMark/>
          </w:tcPr>
          <w:p w14:paraId="7B1FEDA4" w14:textId="139476F2" w:rsidR="005C04FC" w:rsidRDefault="005C04FC" w:rsidP="005C04FC">
            <w:pPr>
              <w:jc w:val="right"/>
              <w:rPr>
                <w:color w:val="000000"/>
              </w:rPr>
            </w:pPr>
            <w:r w:rsidRPr="00706E01">
              <w:rPr>
                <w:lang w:val="en-IE" w:eastAsia="en-IE"/>
              </w:rPr>
              <w:t>275</w:t>
            </w:r>
          </w:p>
        </w:tc>
        <w:tc>
          <w:tcPr>
            <w:tcW w:w="880" w:type="dxa"/>
            <w:tcBorders>
              <w:top w:val="nil"/>
              <w:left w:val="nil"/>
              <w:bottom w:val="single" w:sz="8" w:space="0" w:color="auto"/>
              <w:right w:val="single" w:sz="8" w:space="0" w:color="auto"/>
            </w:tcBorders>
            <w:shd w:val="clear" w:color="auto" w:fill="auto"/>
            <w:noWrap/>
            <w:vAlign w:val="center"/>
            <w:hideMark/>
          </w:tcPr>
          <w:p w14:paraId="12ECA272" w14:textId="3DF6CE98" w:rsidR="005C04FC" w:rsidRDefault="005C04FC" w:rsidP="005C04FC">
            <w:pPr>
              <w:jc w:val="right"/>
              <w:rPr>
                <w:color w:val="000000"/>
              </w:rPr>
            </w:pPr>
            <w:r w:rsidRPr="00706E01">
              <w:rPr>
                <w:lang w:val="en-IE" w:eastAsia="en-IE"/>
              </w:rPr>
              <w:t>12</w:t>
            </w:r>
            <w:r w:rsidR="00CD06F5">
              <w:rPr>
                <w:lang w:val="en-IE" w:eastAsia="en-IE"/>
              </w:rPr>
              <w:t>.</w:t>
            </w:r>
            <w:r w:rsidRPr="00706E01">
              <w:rPr>
                <w:lang w:val="en-IE" w:eastAsia="en-IE"/>
              </w:rPr>
              <w:t>6</w:t>
            </w:r>
          </w:p>
        </w:tc>
        <w:tc>
          <w:tcPr>
            <w:tcW w:w="1040" w:type="dxa"/>
            <w:tcBorders>
              <w:top w:val="nil"/>
              <w:left w:val="nil"/>
              <w:bottom w:val="single" w:sz="8" w:space="0" w:color="auto"/>
              <w:right w:val="single" w:sz="8" w:space="0" w:color="auto"/>
            </w:tcBorders>
            <w:shd w:val="clear" w:color="auto" w:fill="auto"/>
            <w:noWrap/>
            <w:vAlign w:val="center"/>
            <w:hideMark/>
          </w:tcPr>
          <w:p w14:paraId="1B209841" w14:textId="304E48BB" w:rsidR="005C04FC" w:rsidRDefault="005C04FC" w:rsidP="005C04FC">
            <w:pPr>
              <w:jc w:val="right"/>
              <w:rPr>
                <w:color w:val="000000"/>
              </w:rPr>
            </w:pPr>
            <w:r w:rsidRPr="00706E01">
              <w:rPr>
                <w:lang w:val="en-IE" w:eastAsia="en-IE"/>
              </w:rPr>
              <w:t>527</w:t>
            </w:r>
            <w:r w:rsidR="00CD06F5">
              <w:rPr>
                <w:lang w:val="en-IE" w:eastAsia="en-IE"/>
              </w:rPr>
              <w:t>.</w:t>
            </w:r>
            <w:r w:rsidRPr="00706E01">
              <w:rPr>
                <w:lang w:val="en-IE" w:eastAsia="en-IE"/>
              </w:rPr>
              <w:t>4</w:t>
            </w:r>
          </w:p>
        </w:tc>
      </w:tr>
      <w:tr w:rsidR="005C04FC" w14:paraId="677664EB" w14:textId="77777777" w:rsidTr="005C04FC">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0BC4096B" w14:textId="77777777" w:rsidR="005C04FC" w:rsidRDefault="005C04FC" w:rsidP="005C04FC">
            <w:pPr>
              <w:jc w:val="right"/>
              <w:rPr>
                <w:color w:val="000000"/>
              </w:rPr>
            </w:pPr>
            <w:r>
              <w:rPr>
                <w:color w:val="000000"/>
              </w:rPr>
              <w:t>2040</w:t>
            </w:r>
          </w:p>
        </w:tc>
        <w:tc>
          <w:tcPr>
            <w:tcW w:w="934" w:type="dxa"/>
            <w:tcBorders>
              <w:top w:val="nil"/>
              <w:left w:val="nil"/>
              <w:bottom w:val="single" w:sz="8" w:space="0" w:color="auto"/>
              <w:right w:val="single" w:sz="8" w:space="0" w:color="auto"/>
            </w:tcBorders>
            <w:shd w:val="clear" w:color="auto" w:fill="auto"/>
            <w:noWrap/>
            <w:vAlign w:val="center"/>
            <w:hideMark/>
          </w:tcPr>
          <w:p w14:paraId="7AAA0D42" w14:textId="7DD70B65" w:rsidR="005C04FC" w:rsidRDefault="005C04FC" w:rsidP="005C04FC">
            <w:pPr>
              <w:jc w:val="right"/>
              <w:rPr>
                <w:color w:val="000000"/>
              </w:rPr>
            </w:pPr>
            <w:r w:rsidRPr="00706E01">
              <w:rPr>
                <w:lang w:val="en-IE" w:eastAsia="en-IE"/>
              </w:rPr>
              <w:t>6</w:t>
            </w:r>
            <w:r w:rsidR="00CD06F5">
              <w:rPr>
                <w:lang w:val="en-IE" w:eastAsia="en-IE"/>
              </w:rPr>
              <w:t>.</w:t>
            </w:r>
            <w:r w:rsidRPr="00706E01">
              <w:rPr>
                <w:lang w:val="en-IE" w:eastAsia="en-IE"/>
              </w:rPr>
              <w:t>7</w:t>
            </w:r>
          </w:p>
        </w:tc>
        <w:tc>
          <w:tcPr>
            <w:tcW w:w="986" w:type="dxa"/>
            <w:tcBorders>
              <w:top w:val="nil"/>
              <w:left w:val="nil"/>
              <w:bottom w:val="single" w:sz="8" w:space="0" w:color="auto"/>
              <w:right w:val="single" w:sz="8" w:space="0" w:color="auto"/>
            </w:tcBorders>
            <w:shd w:val="clear" w:color="auto" w:fill="auto"/>
            <w:noWrap/>
            <w:vAlign w:val="center"/>
            <w:hideMark/>
          </w:tcPr>
          <w:p w14:paraId="68CB9070" w14:textId="0A94E47D" w:rsidR="005C04FC" w:rsidRDefault="005C04FC" w:rsidP="005C04FC">
            <w:pPr>
              <w:jc w:val="right"/>
              <w:rPr>
                <w:color w:val="000000"/>
              </w:rPr>
            </w:pPr>
            <w:r w:rsidRPr="00706E01">
              <w:rPr>
                <w:lang w:val="en-IE" w:eastAsia="en-IE"/>
              </w:rPr>
              <w:t>279</w:t>
            </w:r>
          </w:p>
        </w:tc>
        <w:tc>
          <w:tcPr>
            <w:tcW w:w="880" w:type="dxa"/>
            <w:tcBorders>
              <w:top w:val="nil"/>
              <w:left w:val="nil"/>
              <w:bottom w:val="single" w:sz="8" w:space="0" w:color="auto"/>
              <w:right w:val="single" w:sz="8" w:space="0" w:color="auto"/>
            </w:tcBorders>
            <w:shd w:val="clear" w:color="auto" w:fill="auto"/>
            <w:noWrap/>
            <w:vAlign w:val="center"/>
            <w:hideMark/>
          </w:tcPr>
          <w:p w14:paraId="64711571" w14:textId="51BE355C" w:rsidR="005C04FC" w:rsidRDefault="005C04FC" w:rsidP="005C04FC">
            <w:pPr>
              <w:jc w:val="right"/>
              <w:rPr>
                <w:color w:val="000000"/>
              </w:rPr>
            </w:pPr>
            <w:r w:rsidRPr="00706E01">
              <w:rPr>
                <w:lang w:val="en-IE" w:eastAsia="en-IE"/>
              </w:rPr>
              <w:t>12</w:t>
            </w:r>
            <w:r w:rsidR="00CD06F5">
              <w:rPr>
                <w:lang w:val="en-IE" w:eastAsia="en-IE"/>
              </w:rPr>
              <w:t>.</w:t>
            </w:r>
            <w:r w:rsidRPr="00706E01">
              <w:rPr>
                <w:lang w:val="en-IE" w:eastAsia="en-IE"/>
              </w:rPr>
              <w:t>6</w:t>
            </w:r>
          </w:p>
        </w:tc>
        <w:tc>
          <w:tcPr>
            <w:tcW w:w="1040" w:type="dxa"/>
            <w:tcBorders>
              <w:top w:val="nil"/>
              <w:left w:val="nil"/>
              <w:bottom w:val="single" w:sz="8" w:space="0" w:color="auto"/>
              <w:right w:val="single" w:sz="8" w:space="0" w:color="auto"/>
            </w:tcBorders>
            <w:shd w:val="clear" w:color="auto" w:fill="auto"/>
            <w:noWrap/>
            <w:vAlign w:val="center"/>
            <w:hideMark/>
          </w:tcPr>
          <w:p w14:paraId="61507A72" w14:textId="77E7A930" w:rsidR="005C04FC" w:rsidRDefault="005C04FC" w:rsidP="005C04FC">
            <w:pPr>
              <w:jc w:val="right"/>
              <w:rPr>
                <w:color w:val="000000"/>
              </w:rPr>
            </w:pPr>
            <w:r w:rsidRPr="00706E01">
              <w:rPr>
                <w:lang w:val="en-IE" w:eastAsia="en-IE"/>
              </w:rPr>
              <w:t>527</w:t>
            </w:r>
            <w:r w:rsidR="00CD06F5">
              <w:rPr>
                <w:lang w:val="en-IE" w:eastAsia="en-IE"/>
              </w:rPr>
              <w:t>.</w:t>
            </w:r>
            <w:r w:rsidRPr="00706E01">
              <w:rPr>
                <w:lang w:val="en-IE" w:eastAsia="en-IE"/>
              </w:rPr>
              <w:t>4</w:t>
            </w:r>
          </w:p>
        </w:tc>
      </w:tr>
      <w:tr w:rsidR="005C04FC" w14:paraId="68BE811D" w14:textId="77777777" w:rsidTr="005C04FC">
        <w:trPr>
          <w:trHeight w:val="330"/>
        </w:trPr>
        <w:tc>
          <w:tcPr>
            <w:tcW w:w="1176" w:type="dxa"/>
            <w:tcBorders>
              <w:top w:val="nil"/>
              <w:left w:val="single" w:sz="8" w:space="0" w:color="auto"/>
              <w:bottom w:val="single" w:sz="8" w:space="0" w:color="auto"/>
              <w:right w:val="single" w:sz="8" w:space="0" w:color="auto"/>
            </w:tcBorders>
            <w:shd w:val="clear" w:color="auto" w:fill="auto"/>
            <w:noWrap/>
            <w:vAlign w:val="center"/>
            <w:hideMark/>
          </w:tcPr>
          <w:p w14:paraId="440A6EBA" w14:textId="77777777" w:rsidR="005C04FC" w:rsidRDefault="005C04FC" w:rsidP="005C04FC">
            <w:pPr>
              <w:jc w:val="right"/>
              <w:rPr>
                <w:color w:val="000000"/>
              </w:rPr>
            </w:pPr>
            <w:r>
              <w:rPr>
                <w:color w:val="000000"/>
              </w:rPr>
              <w:t>2045</w:t>
            </w:r>
          </w:p>
        </w:tc>
        <w:tc>
          <w:tcPr>
            <w:tcW w:w="934" w:type="dxa"/>
            <w:tcBorders>
              <w:top w:val="nil"/>
              <w:left w:val="nil"/>
              <w:bottom w:val="single" w:sz="8" w:space="0" w:color="auto"/>
              <w:right w:val="single" w:sz="8" w:space="0" w:color="auto"/>
            </w:tcBorders>
            <w:shd w:val="clear" w:color="auto" w:fill="auto"/>
            <w:noWrap/>
            <w:vAlign w:val="center"/>
            <w:hideMark/>
          </w:tcPr>
          <w:p w14:paraId="5F46A9DD" w14:textId="643124FA" w:rsidR="005C04FC" w:rsidRDefault="005C04FC" w:rsidP="005C04FC">
            <w:pPr>
              <w:jc w:val="right"/>
              <w:rPr>
                <w:color w:val="000000"/>
              </w:rPr>
            </w:pPr>
            <w:r w:rsidRPr="00706E01">
              <w:rPr>
                <w:lang w:val="en-IE" w:eastAsia="en-IE"/>
              </w:rPr>
              <w:t>6</w:t>
            </w:r>
            <w:r w:rsidR="00CD06F5">
              <w:rPr>
                <w:lang w:val="en-IE" w:eastAsia="en-IE"/>
              </w:rPr>
              <w:t>.</w:t>
            </w:r>
            <w:r w:rsidRPr="00706E01">
              <w:rPr>
                <w:lang w:val="en-IE" w:eastAsia="en-IE"/>
              </w:rPr>
              <w:t>4</w:t>
            </w:r>
          </w:p>
        </w:tc>
        <w:tc>
          <w:tcPr>
            <w:tcW w:w="986" w:type="dxa"/>
            <w:tcBorders>
              <w:top w:val="nil"/>
              <w:left w:val="nil"/>
              <w:bottom w:val="single" w:sz="8" w:space="0" w:color="auto"/>
              <w:right w:val="single" w:sz="8" w:space="0" w:color="auto"/>
            </w:tcBorders>
            <w:shd w:val="clear" w:color="auto" w:fill="auto"/>
            <w:noWrap/>
            <w:vAlign w:val="center"/>
            <w:hideMark/>
          </w:tcPr>
          <w:p w14:paraId="34EF6A63" w14:textId="66E066B2" w:rsidR="005C04FC" w:rsidRDefault="005C04FC" w:rsidP="005C04FC">
            <w:pPr>
              <w:jc w:val="right"/>
              <w:rPr>
                <w:color w:val="000000"/>
              </w:rPr>
            </w:pPr>
            <w:r w:rsidRPr="00706E01">
              <w:rPr>
                <w:lang w:val="en-IE" w:eastAsia="en-IE"/>
              </w:rPr>
              <w:t>268</w:t>
            </w:r>
          </w:p>
        </w:tc>
        <w:tc>
          <w:tcPr>
            <w:tcW w:w="880" w:type="dxa"/>
            <w:tcBorders>
              <w:top w:val="nil"/>
              <w:left w:val="nil"/>
              <w:bottom w:val="single" w:sz="8" w:space="0" w:color="auto"/>
              <w:right w:val="single" w:sz="8" w:space="0" w:color="auto"/>
            </w:tcBorders>
            <w:shd w:val="clear" w:color="auto" w:fill="auto"/>
            <w:noWrap/>
            <w:vAlign w:val="center"/>
            <w:hideMark/>
          </w:tcPr>
          <w:p w14:paraId="5FD12F68" w14:textId="0EE76A95" w:rsidR="005C04FC" w:rsidRDefault="005C04FC" w:rsidP="005C04FC">
            <w:pPr>
              <w:jc w:val="right"/>
              <w:rPr>
                <w:color w:val="000000"/>
              </w:rPr>
            </w:pPr>
            <w:r w:rsidRPr="00706E01">
              <w:rPr>
                <w:lang w:val="en-IE" w:eastAsia="en-IE"/>
              </w:rPr>
              <w:t>12</w:t>
            </w:r>
            <w:r w:rsidR="00CD06F5">
              <w:rPr>
                <w:lang w:val="en-IE" w:eastAsia="en-IE"/>
              </w:rPr>
              <w:t>.</w:t>
            </w:r>
            <w:r w:rsidRPr="00706E01">
              <w:rPr>
                <w:lang w:val="en-IE" w:eastAsia="en-IE"/>
              </w:rPr>
              <w:t>6</w:t>
            </w:r>
          </w:p>
        </w:tc>
        <w:tc>
          <w:tcPr>
            <w:tcW w:w="1040" w:type="dxa"/>
            <w:tcBorders>
              <w:top w:val="nil"/>
              <w:left w:val="nil"/>
              <w:bottom w:val="single" w:sz="8" w:space="0" w:color="auto"/>
              <w:right w:val="single" w:sz="8" w:space="0" w:color="auto"/>
            </w:tcBorders>
            <w:shd w:val="clear" w:color="auto" w:fill="auto"/>
            <w:noWrap/>
            <w:vAlign w:val="center"/>
            <w:hideMark/>
          </w:tcPr>
          <w:p w14:paraId="771481A5" w14:textId="34C01F72" w:rsidR="005C04FC" w:rsidRDefault="005C04FC" w:rsidP="005C04FC">
            <w:pPr>
              <w:jc w:val="right"/>
              <w:rPr>
                <w:color w:val="000000"/>
              </w:rPr>
            </w:pPr>
            <w:r w:rsidRPr="00706E01">
              <w:rPr>
                <w:lang w:val="en-IE" w:eastAsia="en-IE"/>
              </w:rPr>
              <w:t>527</w:t>
            </w:r>
            <w:r w:rsidR="00CD06F5">
              <w:rPr>
                <w:lang w:val="en-IE" w:eastAsia="en-IE"/>
              </w:rPr>
              <w:t>.</w:t>
            </w:r>
            <w:r w:rsidRPr="00706E01">
              <w:rPr>
                <w:lang w:val="en-IE" w:eastAsia="en-IE"/>
              </w:rPr>
              <w:t>4</w:t>
            </w:r>
          </w:p>
        </w:tc>
      </w:tr>
      <w:tr w:rsidR="005C04FC" w14:paraId="3208705B" w14:textId="77777777" w:rsidTr="005C04FC">
        <w:trPr>
          <w:trHeight w:val="330"/>
        </w:trPr>
        <w:tc>
          <w:tcPr>
            <w:tcW w:w="1176" w:type="dxa"/>
            <w:tcBorders>
              <w:top w:val="nil"/>
              <w:left w:val="single" w:sz="8" w:space="0" w:color="auto"/>
              <w:bottom w:val="single" w:sz="4" w:space="0" w:color="auto"/>
              <w:right w:val="single" w:sz="8" w:space="0" w:color="auto"/>
            </w:tcBorders>
            <w:shd w:val="clear" w:color="auto" w:fill="auto"/>
            <w:noWrap/>
            <w:vAlign w:val="center"/>
            <w:hideMark/>
          </w:tcPr>
          <w:p w14:paraId="6F6C1E35" w14:textId="77777777" w:rsidR="005C04FC" w:rsidRDefault="005C04FC" w:rsidP="005C04FC">
            <w:pPr>
              <w:jc w:val="right"/>
              <w:rPr>
                <w:color w:val="000000"/>
              </w:rPr>
            </w:pPr>
            <w:r>
              <w:rPr>
                <w:color w:val="000000"/>
              </w:rPr>
              <w:t>2050</w:t>
            </w:r>
          </w:p>
        </w:tc>
        <w:tc>
          <w:tcPr>
            <w:tcW w:w="934" w:type="dxa"/>
            <w:tcBorders>
              <w:top w:val="nil"/>
              <w:left w:val="nil"/>
              <w:bottom w:val="single" w:sz="4" w:space="0" w:color="auto"/>
              <w:right w:val="single" w:sz="8" w:space="0" w:color="auto"/>
            </w:tcBorders>
            <w:shd w:val="clear" w:color="auto" w:fill="auto"/>
            <w:noWrap/>
            <w:vAlign w:val="center"/>
            <w:hideMark/>
          </w:tcPr>
          <w:p w14:paraId="21CFCDF1" w14:textId="472AE2E1" w:rsidR="005C04FC" w:rsidRDefault="005C04FC" w:rsidP="005C04FC">
            <w:pPr>
              <w:jc w:val="right"/>
              <w:rPr>
                <w:color w:val="000000"/>
              </w:rPr>
            </w:pPr>
            <w:r w:rsidRPr="00706E01">
              <w:rPr>
                <w:lang w:val="en-IE" w:eastAsia="en-IE"/>
              </w:rPr>
              <w:t>6</w:t>
            </w:r>
            <w:r w:rsidR="00CD06F5">
              <w:rPr>
                <w:lang w:val="en-IE" w:eastAsia="en-IE"/>
              </w:rPr>
              <w:t>.</w:t>
            </w:r>
            <w:r w:rsidRPr="00706E01">
              <w:rPr>
                <w:lang w:val="en-IE" w:eastAsia="en-IE"/>
              </w:rPr>
              <w:t>1</w:t>
            </w:r>
          </w:p>
        </w:tc>
        <w:tc>
          <w:tcPr>
            <w:tcW w:w="986" w:type="dxa"/>
            <w:tcBorders>
              <w:top w:val="nil"/>
              <w:left w:val="nil"/>
              <w:bottom w:val="single" w:sz="4" w:space="0" w:color="auto"/>
              <w:right w:val="single" w:sz="8" w:space="0" w:color="auto"/>
            </w:tcBorders>
            <w:shd w:val="clear" w:color="auto" w:fill="auto"/>
            <w:noWrap/>
            <w:vAlign w:val="center"/>
            <w:hideMark/>
          </w:tcPr>
          <w:p w14:paraId="3C1C659A" w14:textId="344B3E5E" w:rsidR="005C04FC" w:rsidRDefault="005C04FC" w:rsidP="005C04FC">
            <w:pPr>
              <w:jc w:val="right"/>
              <w:rPr>
                <w:color w:val="000000"/>
              </w:rPr>
            </w:pPr>
            <w:r w:rsidRPr="00706E01">
              <w:rPr>
                <w:lang w:val="en-IE" w:eastAsia="en-IE"/>
              </w:rPr>
              <w:t>256</w:t>
            </w:r>
          </w:p>
        </w:tc>
        <w:tc>
          <w:tcPr>
            <w:tcW w:w="880" w:type="dxa"/>
            <w:tcBorders>
              <w:top w:val="nil"/>
              <w:left w:val="nil"/>
              <w:bottom w:val="single" w:sz="4" w:space="0" w:color="auto"/>
              <w:right w:val="single" w:sz="8" w:space="0" w:color="auto"/>
            </w:tcBorders>
            <w:shd w:val="clear" w:color="auto" w:fill="auto"/>
            <w:noWrap/>
            <w:vAlign w:val="center"/>
            <w:hideMark/>
          </w:tcPr>
          <w:p w14:paraId="287290A0" w14:textId="4F99316D" w:rsidR="005C04FC" w:rsidRDefault="005C04FC" w:rsidP="005C04FC">
            <w:pPr>
              <w:jc w:val="right"/>
              <w:rPr>
                <w:color w:val="000000"/>
              </w:rPr>
            </w:pPr>
            <w:r w:rsidRPr="00706E01">
              <w:rPr>
                <w:lang w:val="en-IE" w:eastAsia="en-IE"/>
              </w:rPr>
              <w:t>13</w:t>
            </w:r>
            <w:r w:rsidR="00CD06F5">
              <w:rPr>
                <w:lang w:val="en-IE" w:eastAsia="en-IE"/>
              </w:rPr>
              <w:t>.</w:t>
            </w:r>
            <w:r w:rsidRPr="00706E01">
              <w:rPr>
                <w:lang w:val="en-IE" w:eastAsia="en-IE"/>
              </w:rPr>
              <w:t>2</w:t>
            </w:r>
          </w:p>
        </w:tc>
        <w:tc>
          <w:tcPr>
            <w:tcW w:w="1040" w:type="dxa"/>
            <w:tcBorders>
              <w:top w:val="nil"/>
              <w:left w:val="nil"/>
              <w:bottom w:val="single" w:sz="4" w:space="0" w:color="auto"/>
              <w:right w:val="single" w:sz="8" w:space="0" w:color="auto"/>
            </w:tcBorders>
            <w:shd w:val="clear" w:color="auto" w:fill="auto"/>
            <w:noWrap/>
            <w:vAlign w:val="center"/>
            <w:hideMark/>
          </w:tcPr>
          <w:p w14:paraId="4E230F22" w14:textId="48DE1CC7" w:rsidR="005C04FC" w:rsidRDefault="005C04FC" w:rsidP="005C04FC">
            <w:pPr>
              <w:jc w:val="right"/>
              <w:rPr>
                <w:color w:val="000000"/>
              </w:rPr>
            </w:pPr>
            <w:r w:rsidRPr="00706E01">
              <w:rPr>
                <w:lang w:val="en-IE" w:eastAsia="en-IE"/>
              </w:rPr>
              <w:t>551</w:t>
            </w:r>
            <w:r w:rsidR="00CD06F5">
              <w:rPr>
                <w:lang w:val="en-IE" w:eastAsia="en-IE"/>
              </w:rPr>
              <w:t>.</w:t>
            </w:r>
            <w:r w:rsidRPr="00706E01">
              <w:rPr>
                <w:lang w:val="en-IE" w:eastAsia="en-IE"/>
              </w:rPr>
              <w:t>6</w:t>
            </w:r>
          </w:p>
        </w:tc>
      </w:tr>
      <w:tr w:rsidR="005C04FC" w14:paraId="03F158BA" w14:textId="77777777" w:rsidTr="005C04FC">
        <w:trPr>
          <w:trHeight w:val="330"/>
        </w:trPr>
        <w:tc>
          <w:tcPr>
            <w:tcW w:w="1176" w:type="dxa"/>
            <w:tcBorders>
              <w:top w:val="single" w:sz="4" w:space="0" w:color="auto"/>
              <w:left w:val="single" w:sz="8" w:space="0" w:color="auto"/>
              <w:bottom w:val="single" w:sz="8" w:space="0" w:color="auto"/>
              <w:right w:val="single" w:sz="8" w:space="0" w:color="auto"/>
            </w:tcBorders>
            <w:shd w:val="clear" w:color="auto" w:fill="auto"/>
            <w:noWrap/>
            <w:vAlign w:val="center"/>
          </w:tcPr>
          <w:p w14:paraId="14EEE190" w14:textId="1A3D81EB" w:rsidR="005C04FC" w:rsidRDefault="005C04FC" w:rsidP="005C04FC">
            <w:pPr>
              <w:jc w:val="right"/>
              <w:rPr>
                <w:color w:val="000000"/>
              </w:rPr>
            </w:pPr>
            <w:r>
              <w:rPr>
                <w:color w:val="000000"/>
              </w:rPr>
              <w:t>2055</w:t>
            </w:r>
          </w:p>
        </w:tc>
        <w:tc>
          <w:tcPr>
            <w:tcW w:w="934" w:type="dxa"/>
            <w:tcBorders>
              <w:top w:val="single" w:sz="4" w:space="0" w:color="auto"/>
              <w:left w:val="nil"/>
              <w:bottom w:val="single" w:sz="8" w:space="0" w:color="auto"/>
              <w:right w:val="single" w:sz="8" w:space="0" w:color="auto"/>
            </w:tcBorders>
            <w:shd w:val="clear" w:color="auto" w:fill="auto"/>
            <w:noWrap/>
            <w:vAlign w:val="center"/>
          </w:tcPr>
          <w:p w14:paraId="2B4FFEB8" w14:textId="0BF97FDD" w:rsidR="005C04FC" w:rsidRDefault="005C04FC" w:rsidP="005C04FC">
            <w:pPr>
              <w:jc w:val="right"/>
              <w:rPr>
                <w:color w:val="000000"/>
              </w:rPr>
            </w:pPr>
            <w:r w:rsidRPr="00706E01">
              <w:rPr>
                <w:lang w:val="en-IE" w:eastAsia="en-IE"/>
              </w:rPr>
              <w:t>5</w:t>
            </w:r>
            <w:r w:rsidR="00CD06F5">
              <w:rPr>
                <w:lang w:val="en-IE" w:eastAsia="en-IE"/>
              </w:rPr>
              <w:t>.</w:t>
            </w:r>
            <w:r w:rsidRPr="00706E01">
              <w:rPr>
                <w:lang w:val="en-IE" w:eastAsia="en-IE"/>
              </w:rPr>
              <w:t>8</w:t>
            </w:r>
          </w:p>
        </w:tc>
        <w:tc>
          <w:tcPr>
            <w:tcW w:w="986" w:type="dxa"/>
            <w:tcBorders>
              <w:top w:val="single" w:sz="4" w:space="0" w:color="auto"/>
              <w:left w:val="nil"/>
              <w:bottom w:val="single" w:sz="8" w:space="0" w:color="auto"/>
              <w:right w:val="single" w:sz="8" w:space="0" w:color="auto"/>
            </w:tcBorders>
            <w:shd w:val="clear" w:color="auto" w:fill="auto"/>
            <w:noWrap/>
            <w:vAlign w:val="center"/>
          </w:tcPr>
          <w:p w14:paraId="36EBB588" w14:textId="1C37AD8C" w:rsidR="005C04FC" w:rsidRDefault="005C04FC" w:rsidP="005C04FC">
            <w:pPr>
              <w:jc w:val="right"/>
              <w:rPr>
                <w:color w:val="000000"/>
              </w:rPr>
            </w:pPr>
            <w:r w:rsidRPr="00706E01">
              <w:rPr>
                <w:lang w:val="en-IE" w:eastAsia="en-IE"/>
              </w:rPr>
              <w:t>244</w:t>
            </w:r>
          </w:p>
        </w:tc>
        <w:tc>
          <w:tcPr>
            <w:tcW w:w="880" w:type="dxa"/>
            <w:tcBorders>
              <w:top w:val="single" w:sz="4" w:space="0" w:color="auto"/>
              <w:left w:val="nil"/>
              <w:bottom w:val="single" w:sz="8" w:space="0" w:color="auto"/>
              <w:right w:val="single" w:sz="8" w:space="0" w:color="auto"/>
            </w:tcBorders>
            <w:shd w:val="clear" w:color="auto" w:fill="auto"/>
            <w:noWrap/>
            <w:vAlign w:val="center"/>
          </w:tcPr>
          <w:p w14:paraId="0B9FF056" w14:textId="6FDE751A" w:rsidR="005C04FC" w:rsidRDefault="005C04FC" w:rsidP="005C04FC">
            <w:pPr>
              <w:jc w:val="right"/>
              <w:rPr>
                <w:color w:val="000000"/>
              </w:rPr>
            </w:pPr>
            <w:r w:rsidRPr="00706E01">
              <w:rPr>
                <w:lang w:val="en-IE" w:eastAsia="en-IE"/>
              </w:rPr>
              <w:t>13</w:t>
            </w:r>
            <w:r w:rsidR="00CD06F5">
              <w:rPr>
                <w:lang w:val="en-IE" w:eastAsia="en-IE"/>
              </w:rPr>
              <w:t>.</w:t>
            </w:r>
            <w:r w:rsidRPr="00706E01">
              <w:rPr>
                <w:lang w:val="en-IE" w:eastAsia="en-IE"/>
              </w:rPr>
              <w:t>5</w:t>
            </w:r>
          </w:p>
        </w:tc>
        <w:tc>
          <w:tcPr>
            <w:tcW w:w="1040" w:type="dxa"/>
            <w:tcBorders>
              <w:top w:val="single" w:sz="4" w:space="0" w:color="auto"/>
              <w:left w:val="nil"/>
              <w:bottom w:val="single" w:sz="8" w:space="0" w:color="auto"/>
              <w:right w:val="single" w:sz="8" w:space="0" w:color="auto"/>
            </w:tcBorders>
            <w:shd w:val="clear" w:color="auto" w:fill="auto"/>
            <w:noWrap/>
            <w:vAlign w:val="center"/>
          </w:tcPr>
          <w:p w14:paraId="11D3C320" w14:textId="63868965" w:rsidR="005C04FC" w:rsidRDefault="005C04FC" w:rsidP="005C04FC">
            <w:pPr>
              <w:jc w:val="right"/>
              <w:rPr>
                <w:color w:val="000000"/>
              </w:rPr>
            </w:pPr>
            <w:r w:rsidRPr="00706E01">
              <w:rPr>
                <w:lang w:val="en-IE" w:eastAsia="en-IE"/>
              </w:rPr>
              <w:t>564</w:t>
            </w:r>
            <w:r w:rsidR="00CD06F5">
              <w:rPr>
                <w:lang w:val="en-IE" w:eastAsia="en-IE"/>
              </w:rPr>
              <w:t>.</w:t>
            </w:r>
            <w:r w:rsidRPr="00706E01">
              <w:rPr>
                <w:lang w:val="en-IE" w:eastAsia="en-IE"/>
              </w:rPr>
              <w:t>2</w:t>
            </w:r>
          </w:p>
        </w:tc>
      </w:tr>
    </w:tbl>
    <w:p w14:paraId="57632472" w14:textId="77777777" w:rsidR="0084377C" w:rsidRPr="004D73A4" w:rsidRDefault="0084377C" w:rsidP="004D73A4">
      <w:pPr>
        <w:rPr>
          <w:i/>
          <w:sz w:val="20"/>
          <w:szCs w:val="22"/>
          <w:lang w:val="en-US" w:eastAsia="en-US"/>
        </w:rPr>
      </w:pPr>
    </w:p>
    <w:p w14:paraId="3FFFDDA2" w14:textId="77777777" w:rsidR="004D73A4" w:rsidRDefault="004D73A4" w:rsidP="004D73A4">
      <w:pPr>
        <w:rPr>
          <w:b/>
          <w:u w:val="single"/>
          <w:lang w:val="en-IE"/>
        </w:rPr>
      </w:pPr>
    </w:p>
    <w:p w14:paraId="1BD6330C" w14:textId="2993D4FD" w:rsidR="004D73A4" w:rsidRPr="004D73A4" w:rsidRDefault="008E665C" w:rsidP="00351A98">
      <w:pPr>
        <w:rPr>
          <w:b/>
          <w:u w:val="single"/>
          <w:lang w:val="en-IE"/>
        </w:rPr>
      </w:pPr>
      <w:r>
        <w:br w:type="page"/>
      </w:r>
      <w:r w:rsidR="00262EB0">
        <w:rPr>
          <w:b/>
          <w:u w:val="single"/>
          <w:lang w:val="en-IE"/>
        </w:rPr>
        <w:lastRenderedPageBreak/>
        <w:t>C</w:t>
      </w:r>
      <w:r w:rsidR="004D73A4" w:rsidRPr="004D73A4">
        <w:rPr>
          <w:b/>
          <w:u w:val="single"/>
          <w:lang w:val="en-IE"/>
        </w:rPr>
        <w:t xml:space="preserve">arbon prices </w:t>
      </w:r>
    </w:p>
    <w:p w14:paraId="03712183" w14:textId="2F9C5DC1" w:rsidR="004D73A4" w:rsidRPr="00AC4210" w:rsidRDefault="004D73A4" w:rsidP="004D73A4">
      <w:pPr>
        <w:jc w:val="both"/>
        <w:rPr>
          <w:sz w:val="22"/>
          <w:szCs w:val="22"/>
          <w:lang w:val="en-IE"/>
        </w:rPr>
      </w:pPr>
      <w:r w:rsidRPr="00103435">
        <w:rPr>
          <w:sz w:val="22"/>
          <w:szCs w:val="22"/>
          <w:lang w:val="en-IE"/>
        </w:rPr>
        <w:fldChar w:fldCharType="begin"/>
      </w:r>
      <w:r w:rsidRPr="00103435">
        <w:rPr>
          <w:sz w:val="22"/>
          <w:szCs w:val="22"/>
          <w:lang w:val="en-IE"/>
        </w:rPr>
        <w:instrText xml:space="preserve"> REF _Ref96013851 \h  \* MERGEFORMAT </w:instrText>
      </w:r>
      <w:r w:rsidRPr="00103435">
        <w:rPr>
          <w:sz w:val="22"/>
          <w:szCs w:val="22"/>
          <w:lang w:val="en-IE"/>
        </w:rPr>
      </w:r>
      <w:r w:rsidR="00A53B73">
        <w:rPr>
          <w:sz w:val="22"/>
          <w:szCs w:val="22"/>
          <w:lang w:val="en-IE"/>
        </w:rPr>
        <w:fldChar w:fldCharType="separate"/>
      </w:r>
      <w:r w:rsidRPr="00103435">
        <w:rPr>
          <w:sz w:val="22"/>
          <w:szCs w:val="22"/>
          <w:lang w:val="en-IE"/>
        </w:rPr>
        <w:fldChar w:fldCharType="end"/>
      </w:r>
      <w:r w:rsidRPr="53B862E4">
        <w:rPr>
          <w:sz w:val="22"/>
          <w:szCs w:val="22"/>
          <w:lang w:val="en-IE"/>
        </w:rPr>
        <w:fldChar w:fldCharType="begin"/>
      </w:r>
      <w:r w:rsidRPr="53B862E4">
        <w:rPr>
          <w:sz w:val="22"/>
          <w:szCs w:val="22"/>
          <w:lang w:val="en-IE"/>
        </w:rPr>
        <w:instrText xml:space="preserve"> REF _Ref160017318 \h </w:instrText>
      </w:r>
      <w:r w:rsidR="00103435">
        <w:rPr>
          <w:sz w:val="22"/>
          <w:szCs w:val="22"/>
          <w:lang w:val="en-IE"/>
        </w:rPr>
        <w:instrText xml:space="preserve"> \* MERGEFORMAT </w:instrText>
      </w:r>
      <w:r w:rsidRPr="53B862E4">
        <w:rPr>
          <w:sz w:val="22"/>
          <w:szCs w:val="22"/>
          <w:lang w:val="en-IE"/>
        </w:rPr>
      </w:r>
      <w:r w:rsidRPr="53B862E4">
        <w:rPr>
          <w:sz w:val="22"/>
          <w:szCs w:val="22"/>
          <w:lang w:val="en-IE"/>
        </w:rPr>
        <w:fldChar w:fldCharType="separate"/>
      </w:r>
      <w:r w:rsidR="7068754A" w:rsidRPr="00F611EB">
        <w:rPr>
          <w:sz w:val="22"/>
          <w:szCs w:val="22"/>
        </w:rPr>
        <w:t xml:space="preserve">Table </w:t>
      </w:r>
      <w:r w:rsidR="7068754A" w:rsidRPr="00F611EB">
        <w:rPr>
          <w:noProof/>
          <w:sz w:val="22"/>
          <w:szCs w:val="22"/>
        </w:rPr>
        <w:t>2</w:t>
      </w:r>
      <w:r w:rsidRPr="53B862E4">
        <w:rPr>
          <w:sz w:val="22"/>
          <w:szCs w:val="22"/>
          <w:lang w:val="en-IE"/>
        </w:rPr>
        <w:fldChar w:fldCharType="end"/>
      </w:r>
      <w:r w:rsidR="716A74C3" w:rsidRPr="00AC4210">
        <w:rPr>
          <w:sz w:val="22"/>
          <w:szCs w:val="22"/>
          <w:lang w:val="en-IE"/>
        </w:rPr>
        <w:t xml:space="preserve"> shows the trajectory of the carbon price </w:t>
      </w:r>
      <w:r w:rsidR="656E4BE6" w:rsidRPr="53B862E4">
        <w:rPr>
          <w:sz w:val="22"/>
          <w:szCs w:val="22"/>
          <w:lang w:val="en-IE"/>
        </w:rPr>
        <w:t xml:space="preserve">for sectors under </w:t>
      </w:r>
      <w:r w:rsidR="716A74C3" w:rsidRPr="00AC4210">
        <w:rPr>
          <w:sz w:val="22"/>
          <w:szCs w:val="22"/>
          <w:lang w:val="en-IE"/>
        </w:rPr>
        <w:t xml:space="preserve">the existing ETS </w:t>
      </w:r>
      <w:r w:rsidR="716A74C3" w:rsidRPr="00355A19">
        <w:rPr>
          <w:sz w:val="22"/>
          <w:szCs w:val="22"/>
          <w:lang w:val="en-IE"/>
        </w:rPr>
        <w:t xml:space="preserve">in its current scope (power, industry, centralised </w:t>
      </w:r>
      <w:r w:rsidR="002329C9" w:rsidRPr="00355A19">
        <w:rPr>
          <w:sz w:val="22"/>
          <w:szCs w:val="22"/>
          <w:lang w:val="en-IE"/>
        </w:rPr>
        <w:t>heat</w:t>
      </w:r>
      <w:r w:rsidR="002329C9">
        <w:rPr>
          <w:sz w:val="22"/>
          <w:szCs w:val="22"/>
          <w:lang w:val="en-IE"/>
        </w:rPr>
        <w:t>,</w:t>
      </w:r>
      <w:r w:rsidR="002329C9" w:rsidRPr="00355A19">
        <w:rPr>
          <w:sz w:val="22"/>
          <w:szCs w:val="22"/>
          <w:lang w:val="en-IE"/>
        </w:rPr>
        <w:t xml:space="preserve"> aviation</w:t>
      </w:r>
      <w:r w:rsidR="716A74C3" w:rsidRPr="00355A19">
        <w:rPr>
          <w:sz w:val="22"/>
          <w:szCs w:val="22"/>
          <w:lang w:val="en-IE"/>
        </w:rPr>
        <w:t xml:space="preserve"> sectors</w:t>
      </w:r>
      <w:r w:rsidR="4A70745B" w:rsidRPr="00F611EB">
        <w:rPr>
          <w:sz w:val="22"/>
          <w:szCs w:val="22"/>
          <w:lang w:val="en-IE"/>
        </w:rPr>
        <w:t xml:space="preserve">, </w:t>
      </w:r>
      <w:r w:rsidR="00181BC4">
        <w:rPr>
          <w:sz w:val="22"/>
          <w:szCs w:val="22"/>
          <w:lang w:val="en-IE"/>
        </w:rPr>
        <w:t xml:space="preserve">and </w:t>
      </w:r>
      <w:r w:rsidR="4A70745B" w:rsidRPr="00F611EB">
        <w:rPr>
          <w:sz w:val="22"/>
          <w:szCs w:val="22"/>
          <w:lang w:val="en-IE"/>
        </w:rPr>
        <w:t>maritime industry</w:t>
      </w:r>
      <w:r w:rsidR="716A74C3" w:rsidRPr="00355A19">
        <w:rPr>
          <w:sz w:val="22"/>
          <w:szCs w:val="22"/>
          <w:lang w:val="en-IE"/>
        </w:rPr>
        <w:t>)</w:t>
      </w:r>
      <w:r w:rsidR="716A74C3" w:rsidRPr="00AC4210">
        <w:rPr>
          <w:sz w:val="22"/>
          <w:szCs w:val="22"/>
          <w:lang w:val="en-IE"/>
        </w:rPr>
        <w:t xml:space="preserve"> up to 2030, corresponding to the legally binding -55% climate target context. </w:t>
      </w:r>
    </w:p>
    <w:p w14:paraId="261F6360" w14:textId="77777777" w:rsidR="00262EB0" w:rsidRPr="00AC4210" w:rsidRDefault="00262EB0" w:rsidP="004D73A4">
      <w:pPr>
        <w:jc w:val="both"/>
        <w:rPr>
          <w:sz w:val="22"/>
          <w:szCs w:val="22"/>
          <w:lang w:val="en-IE"/>
        </w:rPr>
      </w:pPr>
    </w:p>
    <w:p w14:paraId="1D3429FA" w14:textId="7B5425A3" w:rsidR="004D73A4" w:rsidRPr="00AC4210" w:rsidRDefault="004D73A4" w:rsidP="004D73A4">
      <w:pPr>
        <w:jc w:val="both"/>
        <w:rPr>
          <w:sz w:val="22"/>
          <w:szCs w:val="22"/>
          <w:lang w:val="en-IE"/>
        </w:rPr>
      </w:pPr>
      <w:r w:rsidRPr="00AC4210">
        <w:rPr>
          <w:sz w:val="22"/>
          <w:szCs w:val="22"/>
          <w:lang w:val="en-IE"/>
        </w:rPr>
        <w:t>For long</w:t>
      </w:r>
      <w:r w:rsidR="00901A06">
        <w:rPr>
          <w:sz w:val="22"/>
          <w:szCs w:val="22"/>
          <w:lang w:val="en-IE"/>
        </w:rPr>
        <w:t>-</w:t>
      </w:r>
      <w:r w:rsidRPr="00AC4210">
        <w:rPr>
          <w:sz w:val="22"/>
          <w:szCs w:val="22"/>
          <w:lang w:val="en-IE"/>
        </w:rPr>
        <w:t xml:space="preserve">term values beyond 2030, </w:t>
      </w:r>
      <w:r w:rsidRPr="00103435">
        <w:rPr>
          <w:sz w:val="22"/>
          <w:szCs w:val="22"/>
          <w:lang w:val="en-IE"/>
        </w:rPr>
        <w:fldChar w:fldCharType="begin"/>
      </w:r>
      <w:r w:rsidRPr="00103435">
        <w:rPr>
          <w:sz w:val="22"/>
          <w:szCs w:val="22"/>
          <w:lang w:val="en-IE"/>
        </w:rPr>
        <w:instrText xml:space="preserve"> REF _Ref96013851 \h  \* MERGEFORMAT </w:instrText>
      </w:r>
      <w:r w:rsidRPr="00103435">
        <w:rPr>
          <w:sz w:val="22"/>
          <w:szCs w:val="22"/>
          <w:lang w:val="en-IE"/>
        </w:rPr>
      </w:r>
      <w:r w:rsidR="00A53B73">
        <w:rPr>
          <w:sz w:val="22"/>
          <w:szCs w:val="22"/>
          <w:lang w:val="en-IE"/>
        </w:rPr>
        <w:fldChar w:fldCharType="separate"/>
      </w:r>
      <w:r w:rsidRPr="00103435">
        <w:rPr>
          <w:sz w:val="22"/>
          <w:szCs w:val="22"/>
          <w:lang w:val="en-IE"/>
        </w:rPr>
        <w:fldChar w:fldCharType="end"/>
      </w:r>
      <w:r w:rsidR="007C06CC" w:rsidRPr="00103435">
        <w:rPr>
          <w:sz w:val="22"/>
          <w:szCs w:val="22"/>
          <w:lang w:val="en-IE"/>
        </w:rPr>
        <w:fldChar w:fldCharType="begin"/>
      </w:r>
      <w:r w:rsidR="007C06CC" w:rsidRPr="00103435">
        <w:rPr>
          <w:sz w:val="22"/>
          <w:szCs w:val="22"/>
          <w:lang w:val="en-IE"/>
        </w:rPr>
        <w:instrText xml:space="preserve"> REF _Ref160017318 \h </w:instrText>
      </w:r>
      <w:r w:rsidR="00103435">
        <w:rPr>
          <w:sz w:val="22"/>
          <w:szCs w:val="22"/>
          <w:lang w:val="en-IE"/>
        </w:rPr>
        <w:instrText xml:space="preserve"> \* MERGEFORMAT </w:instrText>
      </w:r>
      <w:r w:rsidR="007C06CC" w:rsidRPr="00103435">
        <w:rPr>
          <w:sz w:val="22"/>
          <w:szCs w:val="22"/>
          <w:lang w:val="en-IE"/>
        </w:rPr>
      </w:r>
      <w:r w:rsidR="007C06CC" w:rsidRPr="00103435">
        <w:rPr>
          <w:sz w:val="22"/>
          <w:szCs w:val="22"/>
          <w:lang w:val="en-IE"/>
        </w:rPr>
        <w:fldChar w:fldCharType="separate"/>
      </w:r>
      <w:r w:rsidR="00351A98" w:rsidRPr="00351A98">
        <w:rPr>
          <w:sz w:val="22"/>
          <w:szCs w:val="22"/>
        </w:rPr>
        <w:t xml:space="preserve">Table </w:t>
      </w:r>
      <w:r w:rsidR="00351A98" w:rsidRPr="00351A98">
        <w:rPr>
          <w:noProof/>
          <w:sz w:val="22"/>
          <w:szCs w:val="22"/>
        </w:rPr>
        <w:t>3</w:t>
      </w:r>
      <w:r w:rsidR="007C06CC" w:rsidRPr="00103435">
        <w:rPr>
          <w:sz w:val="22"/>
          <w:szCs w:val="22"/>
          <w:lang w:val="en-IE"/>
        </w:rPr>
        <w:fldChar w:fldCharType="end"/>
      </w:r>
      <w:r w:rsidR="0090397A">
        <w:rPr>
          <w:sz w:val="22"/>
          <w:szCs w:val="22"/>
          <w:lang w:val="en-IE"/>
        </w:rPr>
        <w:t xml:space="preserve"> </w:t>
      </w:r>
      <w:r w:rsidRPr="00AC4210">
        <w:rPr>
          <w:sz w:val="22"/>
          <w:szCs w:val="22"/>
          <w:lang w:val="en-IE"/>
        </w:rPr>
        <w:t xml:space="preserve">shows two trajectories: a trajectory based on the EU Reference Scenario 2020 for the </w:t>
      </w:r>
      <w:r w:rsidR="00006D74">
        <w:rPr>
          <w:sz w:val="22"/>
          <w:szCs w:val="22"/>
          <w:lang w:val="en-IE"/>
        </w:rPr>
        <w:t xml:space="preserve">carbon </w:t>
      </w:r>
      <w:r w:rsidR="00E27CD6">
        <w:rPr>
          <w:sz w:val="22"/>
          <w:szCs w:val="22"/>
          <w:lang w:val="en-IE"/>
        </w:rPr>
        <w:t>value</w:t>
      </w:r>
      <w:r w:rsidR="00E27CD6" w:rsidRPr="00AC4210">
        <w:rPr>
          <w:sz w:val="22"/>
          <w:szCs w:val="22"/>
          <w:lang w:val="en-IE"/>
        </w:rPr>
        <w:t xml:space="preserve"> </w:t>
      </w:r>
      <w:r w:rsidRPr="00AC4210">
        <w:rPr>
          <w:sz w:val="22"/>
          <w:szCs w:val="22"/>
          <w:lang w:val="en-IE"/>
        </w:rPr>
        <w:t>in “WEM” scenarios, and an indicative carbon value trajectory across the economy to reaching the EU climate neutrality</w:t>
      </w:r>
      <w:r w:rsidRPr="3AFFED31">
        <w:rPr>
          <w:rStyle w:val="FootnoteReference"/>
          <w:i/>
          <w:iCs/>
          <w:sz w:val="18"/>
          <w:szCs w:val="18"/>
          <w:lang w:val="en-IE"/>
        </w:rPr>
        <w:footnoteReference w:id="7"/>
      </w:r>
      <w:r w:rsidRPr="00AC4210">
        <w:rPr>
          <w:sz w:val="22"/>
          <w:szCs w:val="22"/>
          <w:lang w:val="en-IE"/>
        </w:rPr>
        <w:t xml:space="preserve"> for national (“WAM”) scenarios.  </w:t>
      </w:r>
    </w:p>
    <w:p w14:paraId="37AD7BE4" w14:textId="77777777" w:rsidR="004D73A4" w:rsidRPr="004D73A4" w:rsidRDefault="004D73A4" w:rsidP="004D73A4">
      <w:pPr>
        <w:rPr>
          <w:lang w:val="en-IE"/>
        </w:rPr>
      </w:pPr>
    </w:p>
    <w:p w14:paraId="1576AA14" w14:textId="090BC8A9" w:rsidR="004D73A4" w:rsidRDefault="007C06CC" w:rsidP="00F611EB">
      <w:pPr>
        <w:pStyle w:val="Caption"/>
        <w:keepNext/>
        <w:rPr>
          <w:rFonts w:ascii="Times New Roman" w:hAnsi="Times New Roman"/>
        </w:rPr>
      </w:pPr>
      <w:bookmarkStart w:id="3" w:name="_Ref160017318"/>
      <w:bookmarkStart w:id="4" w:name="_Ref96013851"/>
      <w:r>
        <w:t xml:space="preserve">Table </w:t>
      </w:r>
      <w:r>
        <w:fldChar w:fldCharType="begin"/>
      </w:r>
      <w:r>
        <w:instrText xml:space="preserve"> SEQ Table \* ARABIC </w:instrText>
      </w:r>
      <w:r>
        <w:fldChar w:fldCharType="separate"/>
      </w:r>
      <w:r w:rsidR="00351A98">
        <w:rPr>
          <w:noProof/>
        </w:rPr>
        <w:t>3</w:t>
      </w:r>
      <w:r>
        <w:fldChar w:fldCharType="end"/>
      </w:r>
      <w:bookmarkEnd w:id="3"/>
      <w:bookmarkEnd w:id="4"/>
      <w:r w:rsidR="004D73A4" w:rsidRPr="004D73A4">
        <w:rPr>
          <w:rFonts w:ascii="Times New Roman" w:hAnsi="Times New Roman"/>
        </w:rPr>
        <w:t>. Harmonised trajectory for the</w:t>
      </w:r>
      <w:r w:rsidR="003842AF">
        <w:rPr>
          <w:rFonts w:ascii="Times New Roman" w:hAnsi="Times New Roman"/>
        </w:rPr>
        <w:t xml:space="preserve"> </w:t>
      </w:r>
      <w:r w:rsidR="004D73A4" w:rsidRPr="004D73A4">
        <w:rPr>
          <w:rFonts w:ascii="Times New Roman" w:hAnsi="Times New Roman"/>
        </w:rPr>
        <w:t>carbon price / value</w:t>
      </w:r>
      <w:r w:rsidR="0068592F">
        <w:rPr>
          <w:rFonts w:ascii="Times New Roman" w:hAnsi="Times New Roman"/>
        </w:rPr>
        <w:t xml:space="preserve"> in sectors under ETS</w:t>
      </w:r>
      <w:r w:rsidR="002329C9">
        <w:rPr>
          <w:rFonts w:ascii="Times New Roman" w:hAnsi="Times New Roman"/>
        </w:rPr>
        <w:t>1</w:t>
      </w:r>
      <w:r w:rsidR="000D3806">
        <w:rPr>
          <w:rFonts w:ascii="Times New Roman" w:hAnsi="Times New Roman"/>
        </w:rPr>
        <w:t xml:space="preserve"> (EUR20</w:t>
      </w:r>
      <w:r w:rsidR="00CA065F">
        <w:rPr>
          <w:rFonts w:ascii="Times New Roman" w:hAnsi="Times New Roman"/>
        </w:rPr>
        <w:t>2</w:t>
      </w:r>
      <w:r w:rsidR="003842AF">
        <w:rPr>
          <w:rFonts w:ascii="Times New Roman" w:hAnsi="Times New Roman"/>
        </w:rPr>
        <w:t>3</w:t>
      </w:r>
      <w:r w:rsidR="000D3806">
        <w:rPr>
          <w:rFonts w:ascii="Times New Roman" w:hAnsi="Times New Roman"/>
        </w:rPr>
        <w:t xml:space="preserve"> / tCO2)</w:t>
      </w:r>
    </w:p>
    <w:tbl>
      <w:tblPr>
        <w:tblW w:w="5524" w:type="dxa"/>
        <w:tblInd w:w="113" w:type="dxa"/>
        <w:tblLook w:val="04A0" w:firstRow="1" w:lastRow="0" w:firstColumn="1" w:lastColumn="0" w:noHBand="0" w:noVBand="1"/>
      </w:tblPr>
      <w:tblGrid>
        <w:gridCol w:w="1838"/>
        <w:gridCol w:w="1843"/>
        <w:gridCol w:w="1843"/>
      </w:tblGrid>
      <w:tr w:rsidR="00CA065F" w:rsidRPr="004D73A4" w14:paraId="792D773B" w14:textId="77777777" w:rsidTr="6ACE85B9">
        <w:trPr>
          <w:trHeight w:val="284"/>
        </w:trPr>
        <w:tc>
          <w:tcPr>
            <w:tcW w:w="1838" w:type="dxa"/>
            <w:tcBorders>
              <w:top w:val="single" w:sz="4" w:space="0" w:color="auto"/>
              <w:left w:val="single" w:sz="4" w:space="0" w:color="auto"/>
              <w:bottom w:val="single" w:sz="4" w:space="0" w:color="auto"/>
              <w:right w:val="single" w:sz="4" w:space="0" w:color="auto"/>
            </w:tcBorders>
            <w:noWrap/>
            <w:vAlign w:val="bottom"/>
            <w:hideMark/>
          </w:tcPr>
          <w:p w14:paraId="4207D147" w14:textId="572D28AB" w:rsidR="00CA065F" w:rsidRPr="004D73A4" w:rsidRDefault="00CA065F" w:rsidP="00B948E2">
            <w:pPr>
              <w:rPr>
                <w:color w:val="000000"/>
                <w:lang w:val="en-IE" w:eastAsia="en-IE"/>
              </w:rPr>
            </w:pPr>
            <w:r w:rsidRPr="004D73A4">
              <w:rPr>
                <w:color w:val="000000"/>
                <w:lang w:val="en-IE" w:eastAsia="en-IE"/>
              </w:rPr>
              <w:t>EUR 202</w:t>
            </w:r>
            <w:r w:rsidR="003842AF">
              <w:rPr>
                <w:color w:val="000000"/>
                <w:lang w:val="en-IE" w:eastAsia="en-IE"/>
              </w:rPr>
              <w:t>3</w:t>
            </w:r>
            <w:r w:rsidRPr="004D73A4">
              <w:rPr>
                <w:color w:val="000000"/>
                <w:lang w:val="en-IE" w:eastAsia="en-IE"/>
              </w:rPr>
              <w:t xml:space="preserve"> / tCO2</w:t>
            </w:r>
          </w:p>
        </w:tc>
        <w:tc>
          <w:tcPr>
            <w:tcW w:w="3686" w:type="dxa"/>
            <w:gridSpan w:val="2"/>
            <w:tcBorders>
              <w:top w:val="single" w:sz="4" w:space="0" w:color="auto"/>
              <w:left w:val="nil"/>
              <w:bottom w:val="single" w:sz="4" w:space="0" w:color="auto"/>
              <w:right w:val="single" w:sz="4" w:space="0" w:color="auto"/>
            </w:tcBorders>
            <w:noWrap/>
            <w:vAlign w:val="bottom"/>
            <w:hideMark/>
          </w:tcPr>
          <w:p w14:paraId="40F45A00" w14:textId="77777777" w:rsidR="00CA065F" w:rsidRPr="004D73A4" w:rsidRDefault="00CA065F" w:rsidP="00B948E2">
            <w:pPr>
              <w:jc w:val="center"/>
              <w:rPr>
                <w:color w:val="000000"/>
                <w:lang w:val="en-IE" w:eastAsia="en-IE"/>
              </w:rPr>
            </w:pPr>
            <w:r w:rsidRPr="004D73A4">
              <w:rPr>
                <w:color w:val="000000"/>
                <w:lang w:val="en-IE" w:eastAsia="en-IE"/>
              </w:rPr>
              <w:t>Common trajectory carbon price existing ETS up to 2030</w:t>
            </w:r>
          </w:p>
        </w:tc>
      </w:tr>
      <w:tr w:rsidR="00CA065F" w:rsidRPr="004D73A4" w14:paraId="148EA6EA"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tcPr>
          <w:p w14:paraId="60440C57" w14:textId="77777777" w:rsidR="00CA065F" w:rsidRPr="00355A19" w:rsidRDefault="00CA065F" w:rsidP="00B948E2">
            <w:pPr>
              <w:jc w:val="right"/>
              <w:rPr>
                <w:color w:val="000000"/>
                <w:lang w:val="en-IE" w:eastAsia="en-IE"/>
              </w:rPr>
            </w:pPr>
            <w:r w:rsidRPr="00355A19">
              <w:rPr>
                <w:color w:val="000000"/>
                <w:lang w:val="en-IE" w:eastAsia="en-IE"/>
              </w:rPr>
              <w:t>2018*</w:t>
            </w:r>
          </w:p>
        </w:tc>
        <w:tc>
          <w:tcPr>
            <w:tcW w:w="3686" w:type="dxa"/>
            <w:gridSpan w:val="2"/>
            <w:tcBorders>
              <w:top w:val="nil"/>
              <w:left w:val="nil"/>
              <w:bottom w:val="single" w:sz="4" w:space="0" w:color="auto"/>
              <w:right w:val="single" w:sz="4" w:space="0" w:color="auto"/>
            </w:tcBorders>
            <w:noWrap/>
            <w:vAlign w:val="bottom"/>
          </w:tcPr>
          <w:p w14:paraId="2D9A53D4" w14:textId="7A7E0926" w:rsidR="00CA065F" w:rsidRPr="00F611EB" w:rsidRDefault="76D7D19F" w:rsidP="00B948E2">
            <w:pPr>
              <w:jc w:val="center"/>
              <w:rPr>
                <w:color w:val="000000"/>
                <w:lang w:val="en-IE" w:eastAsia="en-IE"/>
              </w:rPr>
            </w:pPr>
            <w:r>
              <w:rPr>
                <w:color w:val="000000"/>
              </w:rPr>
              <w:t>19</w:t>
            </w:r>
          </w:p>
        </w:tc>
      </w:tr>
      <w:tr w:rsidR="00CA065F" w:rsidRPr="004D73A4" w14:paraId="4CEDCD22"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tcPr>
          <w:p w14:paraId="3FA609A4" w14:textId="77777777" w:rsidR="00CA065F" w:rsidRPr="00355A19" w:rsidRDefault="00CA065F" w:rsidP="00B948E2">
            <w:pPr>
              <w:jc w:val="right"/>
              <w:rPr>
                <w:color w:val="000000"/>
                <w:lang w:val="en-IE" w:eastAsia="en-IE"/>
              </w:rPr>
            </w:pPr>
            <w:r w:rsidRPr="00355A19">
              <w:rPr>
                <w:color w:val="000000"/>
                <w:lang w:val="en-IE" w:eastAsia="en-IE"/>
              </w:rPr>
              <w:t>2019*</w:t>
            </w:r>
          </w:p>
        </w:tc>
        <w:tc>
          <w:tcPr>
            <w:tcW w:w="3686" w:type="dxa"/>
            <w:gridSpan w:val="2"/>
            <w:tcBorders>
              <w:top w:val="nil"/>
              <w:left w:val="nil"/>
              <w:bottom w:val="single" w:sz="4" w:space="0" w:color="auto"/>
              <w:right w:val="single" w:sz="4" w:space="0" w:color="auto"/>
            </w:tcBorders>
            <w:noWrap/>
            <w:vAlign w:val="bottom"/>
          </w:tcPr>
          <w:p w14:paraId="5FCCBFFA" w14:textId="5031FFA0" w:rsidR="00CA065F" w:rsidRPr="00355A19" w:rsidRDefault="003842AF" w:rsidP="00B948E2">
            <w:pPr>
              <w:jc w:val="center"/>
              <w:rPr>
                <w:color w:val="000000"/>
                <w:lang w:val="en-IE" w:eastAsia="en-IE"/>
              </w:rPr>
            </w:pPr>
            <w:r w:rsidRPr="00355A19">
              <w:rPr>
                <w:color w:val="000000"/>
              </w:rPr>
              <w:t>30</w:t>
            </w:r>
          </w:p>
        </w:tc>
      </w:tr>
      <w:tr w:rsidR="00CA065F" w:rsidRPr="004D73A4" w14:paraId="6CD34AD7"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59E38018" w14:textId="77777777" w:rsidR="00CA065F" w:rsidRPr="00355A19" w:rsidRDefault="00CA065F" w:rsidP="00B948E2">
            <w:pPr>
              <w:jc w:val="right"/>
              <w:rPr>
                <w:color w:val="000000"/>
                <w:lang w:val="en-IE" w:eastAsia="en-IE"/>
              </w:rPr>
            </w:pPr>
            <w:r w:rsidRPr="00355A19">
              <w:rPr>
                <w:color w:val="000000"/>
                <w:lang w:val="en-IE" w:eastAsia="en-IE"/>
              </w:rPr>
              <w:t>2020*</w:t>
            </w:r>
          </w:p>
        </w:tc>
        <w:tc>
          <w:tcPr>
            <w:tcW w:w="3686" w:type="dxa"/>
            <w:gridSpan w:val="2"/>
            <w:tcBorders>
              <w:top w:val="nil"/>
              <w:left w:val="nil"/>
              <w:bottom w:val="single" w:sz="4" w:space="0" w:color="auto"/>
              <w:right w:val="single" w:sz="4" w:space="0" w:color="auto"/>
            </w:tcBorders>
            <w:noWrap/>
            <w:vAlign w:val="bottom"/>
            <w:hideMark/>
          </w:tcPr>
          <w:p w14:paraId="07B60465" w14:textId="29286AAD" w:rsidR="00CA065F" w:rsidRPr="00F611EB" w:rsidRDefault="4EACE71B" w:rsidP="00B948E2">
            <w:pPr>
              <w:jc w:val="center"/>
              <w:rPr>
                <w:color w:val="000000"/>
                <w:lang w:val="en-IE" w:eastAsia="en-IE"/>
              </w:rPr>
            </w:pPr>
            <w:r>
              <w:rPr>
                <w:color w:val="000000"/>
              </w:rPr>
              <w:t>29</w:t>
            </w:r>
          </w:p>
        </w:tc>
      </w:tr>
      <w:tr w:rsidR="00CA065F" w:rsidRPr="004D73A4" w14:paraId="4B61F823"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00EB0422" w14:textId="77777777" w:rsidR="00CA065F" w:rsidRPr="00355A19" w:rsidRDefault="00CA065F" w:rsidP="00B948E2">
            <w:pPr>
              <w:jc w:val="right"/>
              <w:rPr>
                <w:color w:val="000000"/>
                <w:lang w:val="en-IE" w:eastAsia="en-IE"/>
              </w:rPr>
            </w:pPr>
            <w:r w:rsidRPr="00355A19">
              <w:rPr>
                <w:color w:val="000000"/>
                <w:lang w:val="en-IE" w:eastAsia="en-IE"/>
              </w:rPr>
              <w:t>2021*</w:t>
            </w:r>
          </w:p>
        </w:tc>
        <w:tc>
          <w:tcPr>
            <w:tcW w:w="3686" w:type="dxa"/>
            <w:gridSpan w:val="2"/>
            <w:tcBorders>
              <w:top w:val="nil"/>
              <w:left w:val="nil"/>
              <w:bottom w:val="single" w:sz="4" w:space="0" w:color="auto"/>
              <w:right w:val="single" w:sz="4" w:space="0" w:color="auto"/>
            </w:tcBorders>
            <w:noWrap/>
            <w:vAlign w:val="bottom"/>
            <w:hideMark/>
          </w:tcPr>
          <w:p w14:paraId="530A40BA" w14:textId="0E91489D" w:rsidR="00CA065F" w:rsidRPr="00F611EB" w:rsidRDefault="56729DCD" w:rsidP="00B948E2">
            <w:pPr>
              <w:jc w:val="center"/>
              <w:rPr>
                <w:color w:val="000000"/>
                <w:lang w:val="en-IE" w:eastAsia="en-IE"/>
              </w:rPr>
            </w:pPr>
            <w:r>
              <w:rPr>
                <w:color w:val="000000"/>
              </w:rPr>
              <w:t>6</w:t>
            </w:r>
            <w:r w:rsidR="60D1CA4D">
              <w:rPr>
                <w:color w:val="000000"/>
              </w:rPr>
              <w:t>5</w:t>
            </w:r>
          </w:p>
        </w:tc>
      </w:tr>
      <w:tr w:rsidR="00CA065F" w:rsidRPr="004D73A4" w14:paraId="0780187B"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0879307C" w14:textId="03F2E0E1" w:rsidR="00CA065F" w:rsidRPr="00355A19" w:rsidRDefault="00CA065F" w:rsidP="00B948E2">
            <w:pPr>
              <w:jc w:val="right"/>
              <w:rPr>
                <w:color w:val="000000"/>
                <w:lang w:val="en-IE" w:eastAsia="en-IE"/>
              </w:rPr>
            </w:pPr>
            <w:r w:rsidRPr="00355A19">
              <w:rPr>
                <w:color w:val="000000"/>
                <w:lang w:val="en-IE" w:eastAsia="en-IE"/>
              </w:rPr>
              <w:t>2022</w:t>
            </w:r>
            <w:r w:rsidR="003842AF" w:rsidRPr="00355A19">
              <w:rPr>
                <w:color w:val="000000"/>
                <w:lang w:val="en-IE" w:eastAsia="en-IE"/>
              </w:rPr>
              <w:t>*</w:t>
            </w:r>
          </w:p>
        </w:tc>
        <w:tc>
          <w:tcPr>
            <w:tcW w:w="3686" w:type="dxa"/>
            <w:gridSpan w:val="2"/>
            <w:tcBorders>
              <w:top w:val="nil"/>
              <w:left w:val="nil"/>
              <w:bottom w:val="single" w:sz="4" w:space="0" w:color="auto"/>
              <w:right w:val="single" w:sz="4" w:space="0" w:color="auto"/>
            </w:tcBorders>
            <w:noWrap/>
            <w:vAlign w:val="bottom"/>
            <w:hideMark/>
          </w:tcPr>
          <w:p w14:paraId="2C45A963" w14:textId="769B79BC" w:rsidR="00CA065F" w:rsidRPr="00355A19" w:rsidRDefault="240EF28D" w:rsidP="00B948E2">
            <w:pPr>
              <w:jc w:val="center"/>
              <w:rPr>
                <w:color w:val="000000"/>
                <w:lang w:val="en-IE" w:eastAsia="en-IE"/>
              </w:rPr>
            </w:pPr>
            <w:r>
              <w:rPr>
                <w:color w:val="000000"/>
              </w:rPr>
              <w:t>90</w:t>
            </w:r>
          </w:p>
        </w:tc>
      </w:tr>
      <w:tr w:rsidR="00CA065F" w:rsidRPr="004D73A4" w14:paraId="7B53ED8E"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5837CE2B" w14:textId="3BB7FB86" w:rsidR="00CA065F" w:rsidRPr="00355A19" w:rsidRDefault="00CA065F" w:rsidP="00B948E2">
            <w:pPr>
              <w:jc w:val="right"/>
              <w:rPr>
                <w:color w:val="000000"/>
                <w:lang w:val="en-IE" w:eastAsia="en-IE"/>
              </w:rPr>
            </w:pPr>
            <w:r w:rsidRPr="00355A19">
              <w:rPr>
                <w:color w:val="000000"/>
                <w:lang w:val="en-IE" w:eastAsia="en-IE"/>
              </w:rPr>
              <w:t>2023</w:t>
            </w:r>
            <w:r w:rsidR="003842AF" w:rsidRPr="00355A19">
              <w:rPr>
                <w:color w:val="000000"/>
                <w:lang w:val="en-IE" w:eastAsia="en-IE"/>
              </w:rPr>
              <w:t>*</w:t>
            </w:r>
          </w:p>
        </w:tc>
        <w:tc>
          <w:tcPr>
            <w:tcW w:w="3686" w:type="dxa"/>
            <w:gridSpan w:val="2"/>
            <w:tcBorders>
              <w:top w:val="nil"/>
              <w:left w:val="nil"/>
              <w:bottom w:val="single" w:sz="4" w:space="0" w:color="auto"/>
              <w:right w:val="single" w:sz="4" w:space="0" w:color="auto"/>
            </w:tcBorders>
            <w:noWrap/>
            <w:vAlign w:val="bottom"/>
            <w:hideMark/>
          </w:tcPr>
          <w:p w14:paraId="6FED3D42" w14:textId="459A252C" w:rsidR="00CA065F" w:rsidRPr="00F611EB" w:rsidRDefault="0559C784" w:rsidP="00B948E2">
            <w:pPr>
              <w:jc w:val="center"/>
              <w:rPr>
                <w:color w:val="000000"/>
                <w:lang w:val="en-IE" w:eastAsia="en-IE"/>
              </w:rPr>
            </w:pPr>
            <w:r>
              <w:rPr>
                <w:color w:val="000000"/>
              </w:rPr>
              <w:t>9</w:t>
            </w:r>
            <w:r w:rsidR="204C0795">
              <w:rPr>
                <w:color w:val="000000"/>
              </w:rPr>
              <w:t>2</w:t>
            </w:r>
          </w:p>
        </w:tc>
      </w:tr>
      <w:tr w:rsidR="00CA065F" w:rsidRPr="004D73A4" w14:paraId="6C8481B1"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5DCD6608" w14:textId="77777777" w:rsidR="00CA065F" w:rsidRPr="00355A19" w:rsidRDefault="00CA065F" w:rsidP="00B948E2">
            <w:pPr>
              <w:jc w:val="right"/>
              <w:rPr>
                <w:color w:val="000000"/>
                <w:lang w:val="en-IE" w:eastAsia="en-IE"/>
              </w:rPr>
            </w:pPr>
            <w:r w:rsidRPr="00355A19">
              <w:rPr>
                <w:color w:val="000000"/>
                <w:lang w:val="en-IE" w:eastAsia="en-IE"/>
              </w:rPr>
              <w:t>2024</w:t>
            </w:r>
          </w:p>
        </w:tc>
        <w:tc>
          <w:tcPr>
            <w:tcW w:w="3686" w:type="dxa"/>
            <w:gridSpan w:val="2"/>
            <w:tcBorders>
              <w:top w:val="nil"/>
              <w:left w:val="nil"/>
              <w:bottom w:val="single" w:sz="4" w:space="0" w:color="auto"/>
              <w:right w:val="single" w:sz="4" w:space="0" w:color="auto"/>
            </w:tcBorders>
            <w:noWrap/>
            <w:vAlign w:val="bottom"/>
            <w:hideMark/>
          </w:tcPr>
          <w:p w14:paraId="2BD02E14" w14:textId="4590D6D6" w:rsidR="00CA065F" w:rsidRPr="00355A19" w:rsidRDefault="56729DCD" w:rsidP="00B948E2">
            <w:pPr>
              <w:jc w:val="center"/>
              <w:rPr>
                <w:color w:val="000000"/>
                <w:lang w:val="en-IE" w:eastAsia="en-IE"/>
              </w:rPr>
            </w:pPr>
            <w:r>
              <w:rPr>
                <w:color w:val="000000"/>
              </w:rPr>
              <w:t>9</w:t>
            </w:r>
            <w:r w:rsidR="07396191">
              <w:rPr>
                <w:color w:val="000000"/>
              </w:rPr>
              <w:t>5</w:t>
            </w:r>
          </w:p>
        </w:tc>
      </w:tr>
      <w:tr w:rsidR="00CA065F" w:rsidRPr="004D73A4" w14:paraId="6D78EAB3"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327047A2" w14:textId="77777777" w:rsidR="00CA065F" w:rsidRPr="00355A19" w:rsidRDefault="00CA065F" w:rsidP="00B948E2">
            <w:pPr>
              <w:jc w:val="right"/>
              <w:rPr>
                <w:color w:val="000000"/>
                <w:lang w:val="en-IE" w:eastAsia="en-IE"/>
              </w:rPr>
            </w:pPr>
            <w:r w:rsidRPr="00355A19">
              <w:rPr>
                <w:color w:val="000000"/>
                <w:lang w:val="en-IE" w:eastAsia="en-IE"/>
              </w:rPr>
              <w:t>2025</w:t>
            </w:r>
          </w:p>
        </w:tc>
        <w:tc>
          <w:tcPr>
            <w:tcW w:w="3686" w:type="dxa"/>
            <w:gridSpan w:val="2"/>
            <w:tcBorders>
              <w:top w:val="nil"/>
              <w:left w:val="nil"/>
              <w:bottom w:val="single" w:sz="4" w:space="0" w:color="auto"/>
              <w:right w:val="single" w:sz="4" w:space="0" w:color="auto"/>
            </w:tcBorders>
            <w:noWrap/>
            <w:vAlign w:val="bottom"/>
            <w:hideMark/>
          </w:tcPr>
          <w:p w14:paraId="1878CDB9" w14:textId="608E9F04" w:rsidR="00CA065F" w:rsidRPr="00F611EB" w:rsidRDefault="5EB4A4FD" w:rsidP="00B948E2">
            <w:pPr>
              <w:jc w:val="center"/>
              <w:rPr>
                <w:color w:val="000000"/>
                <w:lang w:val="en-IE" w:eastAsia="en-IE"/>
              </w:rPr>
            </w:pPr>
            <w:r>
              <w:rPr>
                <w:color w:val="000000"/>
              </w:rPr>
              <w:t>95</w:t>
            </w:r>
            <w:r w:rsidR="6C819674">
              <w:rPr>
                <w:color w:val="000000"/>
              </w:rPr>
              <w:t>***</w:t>
            </w:r>
          </w:p>
        </w:tc>
      </w:tr>
      <w:tr w:rsidR="00CA065F" w:rsidRPr="004D73A4" w14:paraId="4D334D79"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52D0D395" w14:textId="77777777" w:rsidR="00CA065F" w:rsidRPr="00355A19" w:rsidRDefault="00CA065F" w:rsidP="00B948E2">
            <w:pPr>
              <w:jc w:val="right"/>
              <w:rPr>
                <w:color w:val="000000"/>
                <w:lang w:val="en-IE" w:eastAsia="en-IE"/>
              </w:rPr>
            </w:pPr>
            <w:r w:rsidRPr="00355A19">
              <w:rPr>
                <w:color w:val="000000"/>
                <w:lang w:val="en-IE" w:eastAsia="en-IE"/>
              </w:rPr>
              <w:t>2030</w:t>
            </w:r>
          </w:p>
        </w:tc>
        <w:tc>
          <w:tcPr>
            <w:tcW w:w="3686" w:type="dxa"/>
            <w:gridSpan w:val="2"/>
            <w:tcBorders>
              <w:top w:val="nil"/>
              <w:left w:val="nil"/>
              <w:bottom w:val="single" w:sz="4" w:space="0" w:color="auto"/>
              <w:right w:val="single" w:sz="4" w:space="0" w:color="auto"/>
            </w:tcBorders>
            <w:noWrap/>
            <w:vAlign w:val="bottom"/>
            <w:hideMark/>
          </w:tcPr>
          <w:p w14:paraId="3051CD07" w14:textId="5A773D09" w:rsidR="00CA065F" w:rsidRPr="00F611EB" w:rsidRDefault="700C9F23" w:rsidP="00B948E2">
            <w:pPr>
              <w:jc w:val="center"/>
              <w:rPr>
                <w:color w:val="000000"/>
                <w:lang w:val="en-IE" w:eastAsia="en-IE"/>
              </w:rPr>
            </w:pPr>
            <w:r>
              <w:rPr>
                <w:color w:val="000000"/>
              </w:rPr>
              <w:t>95</w:t>
            </w:r>
            <w:r w:rsidR="6C819674">
              <w:rPr>
                <w:color w:val="000000"/>
              </w:rPr>
              <w:t>***</w:t>
            </w:r>
          </w:p>
        </w:tc>
      </w:tr>
      <w:tr w:rsidR="00CA065F" w:rsidRPr="004D73A4" w14:paraId="6FBC8A84"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tcPr>
          <w:p w14:paraId="4430032F" w14:textId="77777777" w:rsidR="00CA065F" w:rsidRPr="004D73A4" w:rsidRDefault="00CA065F" w:rsidP="00B948E2">
            <w:pPr>
              <w:jc w:val="right"/>
              <w:rPr>
                <w:color w:val="000000"/>
                <w:lang w:val="en-IE" w:eastAsia="en-IE"/>
              </w:rPr>
            </w:pPr>
          </w:p>
        </w:tc>
        <w:tc>
          <w:tcPr>
            <w:tcW w:w="1843" w:type="dxa"/>
            <w:tcBorders>
              <w:top w:val="nil"/>
              <w:left w:val="nil"/>
              <w:bottom w:val="single" w:sz="4" w:space="0" w:color="auto"/>
              <w:right w:val="single" w:sz="4" w:space="0" w:color="auto"/>
            </w:tcBorders>
            <w:noWrap/>
            <w:vAlign w:val="bottom"/>
            <w:hideMark/>
          </w:tcPr>
          <w:p w14:paraId="00F6EEF4" w14:textId="77777777" w:rsidR="00CA065F" w:rsidRPr="004D73A4" w:rsidRDefault="00CA065F" w:rsidP="00B948E2">
            <w:pPr>
              <w:jc w:val="center"/>
              <w:rPr>
                <w:color w:val="000000"/>
                <w:lang w:val="en-IE" w:eastAsia="en-IE"/>
              </w:rPr>
            </w:pPr>
            <w:r w:rsidRPr="004D73A4">
              <w:rPr>
                <w:color w:val="000000"/>
                <w:lang w:val="en-IE" w:eastAsia="en-IE"/>
              </w:rPr>
              <w:t xml:space="preserve">WEM trajectory </w:t>
            </w:r>
          </w:p>
        </w:tc>
        <w:tc>
          <w:tcPr>
            <w:tcW w:w="1843" w:type="dxa"/>
            <w:tcBorders>
              <w:top w:val="nil"/>
              <w:left w:val="nil"/>
              <w:bottom w:val="single" w:sz="4" w:space="0" w:color="auto"/>
              <w:right w:val="single" w:sz="4" w:space="0" w:color="auto"/>
            </w:tcBorders>
            <w:noWrap/>
            <w:vAlign w:val="bottom"/>
            <w:hideMark/>
          </w:tcPr>
          <w:p w14:paraId="1C39C80E" w14:textId="77777777" w:rsidR="00CA065F" w:rsidRPr="004D73A4" w:rsidRDefault="00CA065F" w:rsidP="00B948E2">
            <w:pPr>
              <w:jc w:val="center"/>
              <w:rPr>
                <w:color w:val="000000"/>
                <w:lang w:val="en-IE" w:eastAsia="en-IE"/>
              </w:rPr>
            </w:pPr>
            <w:r w:rsidRPr="004D73A4">
              <w:rPr>
                <w:color w:val="000000"/>
                <w:lang w:val="en-IE" w:eastAsia="en-IE"/>
              </w:rPr>
              <w:t xml:space="preserve">WAM trajectory </w:t>
            </w:r>
          </w:p>
        </w:tc>
      </w:tr>
      <w:tr w:rsidR="00CA065F" w:rsidRPr="004D73A4" w14:paraId="7BD79D55" w14:textId="77777777">
        <w:trPr>
          <w:trHeight w:val="290"/>
        </w:trPr>
        <w:tc>
          <w:tcPr>
            <w:tcW w:w="1838" w:type="dxa"/>
            <w:tcBorders>
              <w:top w:val="nil"/>
              <w:left w:val="single" w:sz="4" w:space="0" w:color="auto"/>
              <w:bottom w:val="single" w:sz="4" w:space="0" w:color="auto"/>
              <w:right w:val="single" w:sz="4" w:space="0" w:color="auto"/>
            </w:tcBorders>
            <w:noWrap/>
            <w:vAlign w:val="bottom"/>
            <w:hideMark/>
          </w:tcPr>
          <w:p w14:paraId="2F1ACF98" w14:textId="77777777" w:rsidR="00CA065F" w:rsidRPr="004D73A4" w:rsidRDefault="6C819674" w:rsidP="00B948E2">
            <w:pPr>
              <w:jc w:val="right"/>
              <w:rPr>
                <w:color w:val="000000"/>
                <w:lang w:val="en-IE" w:eastAsia="en-IE"/>
              </w:rPr>
            </w:pPr>
            <w:r>
              <w:rPr>
                <w:color w:val="000000"/>
                <w:lang w:val="en-IE" w:eastAsia="en-IE"/>
              </w:rPr>
              <w:t>2035</w:t>
            </w:r>
          </w:p>
        </w:tc>
        <w:tc>
          <w:tcPr>
            <w:tcW w:w="1843" w:type="dxa"/>
            <w:tcBorders>
              <w:top w:val="nil"/>
              <w:left w:val="nil"/>
              <w:bottom w:val="single" w:sz="4" w:space="0" w:color="auto"/>
              <w:right w:val="single" w:sz="4" w:space="0" w:color="auto"/>
            </w:tcBorders>
            <w:noWrap/>
            <w:hideMark/>
          </w:tcPr>
          <w:p w14:paraId="329AD02A" w14:textId="2B6D6148" w:rsidR="00CA065F" w:rsidRPr="004D73A4" w:rsidRDefault="171B512F" w:rsidP="00B948E2">
            <w:pPr>
              <w:jc w:val="right"/>
              <w:rPr>
                <w:color w:val="000000"/>
                <w:lang w:val="en-IE" w:eastAsia="en-IE"/>
              </w:rPr>
            </w:pPr>
            <w:r>
              <w:t>100</w:t>
            </w:r>
          </w:p>
        </w:tc>
        <w:tc>
          <w:tcPr>
            <w:tcW w:w="1843" w:type="dxa"/>
            <w:tcBorders>
              <w:top w:val="nil"/>
              <w:left w:val="nil"/>
              <w:bottom w:val="single" w:sz="4" w:space="0" w:color="auto"/>
              <w:right w:val="single" w:sz="4" w:space="0" w:color="auto"/>
            </w:tcBorders>
            <w:shd w:val="clear" w:color="auto" w:fill="D9D9D9"/>
            <w:noWrap/>
            <w:vAlign w:val="bottom"/>
            <w:hideMark/>
          </w:tcPr>
          <w:p w14:paraId="78309BD8" w14:textId="1E39C6EC" w:rsidR="00CA065F" w:rsidRPr="004D73A4" w:rsidRDefault="56729DCD" w:rsidP="00B948E2">
            <w:pPr>
              <w:jc w:val="right"/>
              <w:rPr>
                <w:color w:val="000000"/>
                <w:lang w:val="en-IE" w:eastAsia="en-IE"/>
              </w:rPr>
            </w:pPr>
            <w:r>
              <w:rPr>
                <w:color w:val="000000"/>
                <w:lang w:val="en-IE" w:eastAsia="en-IE"/>
              </w:rPr>
              <w:t>14</w:t>
            </w:r>
            <w:r w:rsidR="7EB73E3A">
              <w:rPr>
                <w:color w:val="000000"/>
                <w:lang w:val="en-IE" w:eastAsia="en-IE"/>
              </w:rPr>
              <w:t>0</w:t>
            </w:r>
            <w:r w:rsidR="6C819674">
              <w:rPr>
                <w:color w:val="000000"/>
                <w:lang w:val="en-IE" w:eastAsia="en-IE"/>
              </w:rPr>
              <w:t>**</w:t>
            </w:r>
          </w:p>
        </w:tc>
      </w:tr>
      <w:tr w:rsidR="00CA065F" w:rsidRPr="004D73A4" w14:paraId="7A649FC5" w14:textId="77777777">
        <w:trPr>
          <w:trHeight w:val="290"/>
        </w:trPr>
        <w:tc>
          <w:tcPr>
            <w:tcW w:w="1838" w:type="dxa"/>
            <w:tcBorders>
              <w:top w:val="nil"/>
              <w:left w:val="single" w:sz="4" w:space="0" w:color="auto"/>
              <w:bottom w:val="single" w:sz="4" w:space="0" w:color="auto"/>
              <w:right w:val="single" w:sz="4" w:space="0" w:color="auto"/>
            </w:tcBorders>
            <w:noWrap/>
            <w:vAlign w:val="bottom"/>
            <w:hideMark/>
          </w:tcPr>
          <w:p w14:paraId="19BBCD6D" w14:textId="77777777" w:rsidR="00CA065F" w:rsidRPr="004D73A4" w:rsidRDefault="00CA065F" w:rsidP="00B948E2">
            <w:pPr>
              <w:jc w:val="right"/>
              <w:rPr>
                <w:color w:val="000000"/>
                <w:lang w:val="en-IE" w:eastAsia="en-IE"/>
              </w:rPr>
            </w:pPr>
            <w:r w:rsidRPr="004D73A4">
              <w:rPr>
                <w:color w:val="000000"/>
                <w:lang w:val="en-IE" w:eastAsia="en-IE"/>
              </w:rPr>
              <w:t>2040</w:t>
            </w:r>
          </w:p>
        </w:tc>
        <w:tc>
          <w:tcPr>
            <w:tcW w:w="1843" w:type="dxa"/>
            <w:tcBorders>
              <w:top w:val="nil"/>
              <w:left w:val="nil"/>
              <w:bottom w:val="single" w:sz="4" w:space="0" w:color="auto"/>
              <w:right w:val="single" w:sz="4" w:space="0" w:color="auto"/>
            </w:tcBorders>
            <w:noWrap/>
            <w:hideMark/>
          </w:tcPr>
          <w:p w14:paraId="54C498B3" w14:textId="29911551" w:rsidR="00CA065F" w:rsidRPr="004D73A4" w:rsidRDefault="56729DCD" w:rsidP="00B948E2">
            <w:pPr>
              <w:jc w:val="right"/>
              <w:rPr>
                <w:color w:val="000000"/>
                <w:lang w:val="en-IE" w:eastAsia="en-IE"/>
              </w:rPr>
            </w:pPr>
            <w:r>
              <w:t>10</w:t>
            </w:r>
            <w:r w:rsidR="1BCC6749">
              <w:t>0</w:t>
            </w:r>
          </w:p>
        </w:tc>
        <w:tc>
          <w:tcPr>
            <w:tcW w:w="1843" w:type="dxa"/>
            <w:tcBorders>
              <w:top w:val="nil"/>
              <w:left w:val="nil"/>
              <w:bottom w:val="single" w:sz="4" w:space="0" w:color="auto"/>
              <w:right w:val="single" w:sz="4" w:space="0" w:color="auto"/>
            </w:tcBorders>
            <w:shd w:val="clear" w:color="auto" w:fill="D9D9D9"/>
            <w:noWrap/>
            <w:vAlign w:val="bottom"/>
            <w:hideMark/>
          </w:tcPr>
          <w:p w14:paraId="1522FD85" w14:textId="3DEB8623" w:rsidR="00CA065F" w:rsidRPr="004D73A4" w:rsidRDefault="003842AF" w:rsidP="00B948E2">
            <w:pPr>
              <w:jc w:val="right"/>
              <w:rPr>
                <w:color w:val="000000"/>
                <w:lang w:val="en-IE" w:eastAsia="en-IE"/>
              </w:rPr>
            </w:pPr>
            <w:r>
              <w:rPr>
                <w:color w:val="000000"/>
                <w:lang w:val="en-IE" w:eastAsia="en-IE"/>
              </w:rPr>
              <w:t>290</w:t>
            </w:r>
            <w:r w:rsidR="00CA065F" w:rsidRPr="004D73A4">
              <w:rPr>
                <w:color w:val="000000"/>
                <w:lang w:val="en-IE" w:eastAsia="en-IE"/>
              </w:rPr>
              <w:t>*</w:t>
            </w:r>
            <w:r w:rsidR="00CA065F">
              <w:rPr>
                <w:color w:val="000000"/>
                <w:lang w:val="en-IE" w:eastAsia="en-IE"/>
              </w:rPr>
              <w:t>*</w:t>
            </w:r>
          </w:p>
        </w:tc>
      </w:tr>
      <w:tr w:rsidR="00CA065F" w:rsidRPr="004D73A4" w14:paraId="6399B9FE" w14:textId="77777777">
        <w:trPr>
          <w:trHeight w:val="290"/>
        </w:trPr>
        <w:tc>
          <w:tcPr>
            <w:tcW w:w="1838" w:type="dxa"/>
            <w:tcBorders>
              <w:top w:val="nil"/>
              <w:left w:val="single" w:sz="4" w:space="0" w:color="auto"/>
              <w:bottom w:val="single" w:sz="4" w:space="0" w:color="auto"/>
              <w:right w:val="single" w:sz="4" w:space="0" w:color="auto"/>
            </w:tcBorders>
            <w:noWrap/>
            <w:vAlign w:val="bottom"/>
            <w:hideMark/>
          </w:tcPr>
          <w:p w14:paraId="01523B36" w14:textId="77777777" w:rsidR="00CA065F" w:rsidRPr="004D73A4" w:rsidRDefault="00CA065F" w:rsidP="00B948E2">
            <w:pPr>
              <w:jc w:val="right"/>
              <w:rPr>
                <w:color w:val="000000"/>
                <w:lang w:val="en-IE" w:eastAsia="en-IE"/>
              </w:rPr>
            </w:pPr>
            <w:r w:rsidRPr="004D73A4">
              <w:rPr>
                <w:color w:val="000000"/>
                <w:lang w:val="en-IE" w:eastAsia="en-IE"/>
              </w:rPr>
              <w:t>2045</w:t>
            </w:r>
          </w:p>
        </w:tc>
        <w:tc>
          <w:tcPr>
            <w:tcW w:w="1843" w:type="dxa"/>
            <w:tcBorders>
              <w:top w:val="nil"/>
              <w:left w:val="nil"/>
              <w:bottom w:val="single" w:sz="4" w:space="0" w:color="auto"/>
              <w:right w:val="single" w:sz="4" w:space="0" w:color="auto"/>
            </w:tcBorders>
            <w:noWrap/>
            <w:hideMark/>
          </w:tcPr>
          <w:p w14:paraId="4AB636CC" w14:textId="0F85D205" w:rsidR="00CA065F" w:rsidRPr="004D73A4" w:rsidRDefault="56729DCD" w:rsidP="00B948E2">
            <w:pPr>
              <w:jc w:val="right"/>
              <w:rPr>
                <w:color w:val="000000"/>
                <w:lang w:val="en-IE" w:eastAsia="en-IE"/>
              </w:rPr>
            </w:pPr>
            <w:r>
              <w:t>1</w:t>
            </w:r>
            <w:r w:rsidR="38A849F9">
              <w:t>60</w:t>
            </w:r>
          </w:p>
        </w:tc>
        <w:tc>
          <w:tcPr>
            <w:tcW w:w="1843" w:type="dxa"/>
            <w:tcBorders>
              <w:top w:val="nil"/>
              <w:left w:val="nil"/>
              <w:bottom w:val="single" w:sz="4" w:space="0" w:color="auto"/>
              <w:right w:val="single" w:sz="4" w:space="0" w:color="auto"/>
            </w:tcBorders>
            <w:shd w:val="clear" w:color="auto" w:fill="D9D9D9"/>
            <w:noWrap/>
            <w:vAlign w:val="bottom"/>
            <w:hideMark/>
          </w:tcPr>
          <w:p w14:paraId="4B610215" w14:textId="1BD6D379" w:rsidR="00CA065F" w:rsidRPr="004D73A4" w:rsidRDefault="003842AF" w:rsidP="00B948E2">
            <w:pPr>
              <w:jc w:val="right"/>
              <w:rPr>
                <w:color w:val="000000"/>
                <w:lang w:val="en-IE" w:eastAsia="en-IE"/>
              </w:rPr>
            </w:pPr>
            <w:r>
              <w:rPr>
                <w:color w:val="000000"/>
                <w:lang w:val="en-IE" w:eastAsia="en-IE"/>
              </w:rPr>
              <w:t>430</w:t>
            </w:r>
            <w:r w:rsidR="00CA065F" w:rsidRPr="004D73A4">
              <w:rPr>
                <w:color w:val="000000"/>
                <w:lang w:val="en-IE" w:eastAsia="en-IE"/>
              </w:rPr>
              <w:t>*</w:t>
            </w:r>
            <w:r w:rsidR="00CA065F">
              <w:rPr>
                <w:color w:val="000000"/>
                <w:lang w:val="en-IE" w:eastAsia="en-IE"/>
              </w:rPr>
              <w:t>*</w:t>
            </w:r>
          </w:p>
        </w:tc>
      </w:tr>
      <w:tr w:rsidR="00CA065F" w:rsidRPr="004D73A4" w14:paraId="23D9E540" w14:textId="77777777">
        <w:trPr>
          <w:trHeight w:val="290"/>
        </w:trPr>
        <w:tc>
          <w:tcPr>
            <w:tcW w:w="1838" w:type="dxa"/>
            <w:tcBorders>
              <w:top w:val="nil"/>
              <w:left w:val="single" w:sz="4" w:space="0" w:color="auto"/>
              <w:bottom w:val="single" w:sz="4" w:space="0" w:color="auto"/>
              <w:right w:val="single" w:sz="4" w:space="0" w:color="auto"/>
            </w:tcBorders>
            <w:noWrap/>
            <w:vAlign w:val="bottom"/>
            <w:hideMark/>
          </w:tcPr>
          <w:p w14:paraId="1B81215D" w14:textId="77777777" w:rsidR="00CA065F" w:rsidRPr="004D73A4" w:rsidRDefault="00CA065F" w:rsidP="00B948E2">
            <w:pPr>
              <w:jc w:val="right"/>
              <w:rPr>
                <w:color w:val="000000"/>
                <w:lang w:val="en-IE" w:eastAsia="en-IE"/>
              </w:rPr>
            </w:pPr>
            <w:r w:rsidRPr="004D73A4">
              <w:rPr>
                <w:color w:val="000000"/>
                <w:lang w:val="en-IE" w:eastAsia="en-IE"/>
              </w:rPr>
              <w:t>2050</w:t>
            </w:r>
          </w:p>
        </w:tc>
        <w:tc>
          <w:tcPr>
            <w:tcW w:w="1843" w:type="dxa"/>
            <w:tcBorders>
              <w:top w:val="nil"/>
              <w:left w:val="nil"/>
              <w:bottom w:val="single" w:sz="4" w:space="0" w:color="auto"/>
              <w:right w:val="single" w:sz="4" w:space="0" w:color="auto"/>
            </w:tcBorders>
            <w:noWrap/>
            <w:hideMark/>
          </w:tcPr>
          <w:p w14:paraId="43E9A954" w14:textId="1B7B91A4" w:rsidR="00CA065F" w:rsidRPr="004D73A4" w:rsidRDefault="56729DCD" w:rsidP="53B862E4">
            <w:pPr>
              <w:jc w:val="right"/>
              <w:rPr>
                <w:lang w:val="en-IE" w:eastAsia="en-IE"/>
              </w:rPr>
            </w:pPr>
            <w:r>
              <w:t>19</w:t>
            </w:r>
            <w:r w:rsidR="6A9171A7">
              <w:t>0</w:t>
            </w:r>
          </w:p>
        </w:tc>
        <w:tc>
          <w:tcPr>
            <w:tcW w:w="1843" w:type="dxa"/>
            <w:tcBorders>
              <w:top w:val="nil"/>
              <w:left w:val="nil"/>
              <w:bottom w:val="single" w:sz="4" w:space="0" w:color="auto"/>
              <w:right w:val="single" w:sz="4" w:space="0" w:color="auto"/>
            </w:tcBorders>
            <w:shd w:val="clear" w:color="auto" w:fill="D9D9D9"/>
            <w:noWrap/>
            <w:vAlign w:val="bottom"/>
            <w:hideMark/>
          </w:tcPr>
          <w:p w14:paraId="7611CC5C" w14:textId="6E8EFB65" w:rsidR="00CA065F" w:rsidRPr="004D73A4" w:rsidRDefault="003842AF" w:rsidP="00B948E2">
            <w:pPr>
              <w:jc w:val="right"/>
              <w:rPr>
                <w:color w:val="000000"/>
                <w:lang w:val="en-IE" w:eastAsia="en-IE"/>
              </w:rPr>
            </w:pPr>
            <w:r w:rsidRPr="004D73A4">
              <w:rPr>
                <w:color w:val="000000"/>
                <w:lang w:val="en-IE" w:eastAsia="en-IE"/>
              </w:rPr>
              <w:t>4</w:t>
            </w:r>
            <w:r>
              <w:rPr>
                <w:color w:val="000000"/>
                <w:lang w:val="en-IE" w:eastAsia="en-IE"/>
              </w:rPr>
              <w:t>9</w:t>
            </w:r>
            <w:r w:rsidRPr="004D73A4">
              <w:rPr>
                <w:color w:val="000000"/>
                <w:lang w:val="en-IE" w:eastAsia="en-IE"/>
              </w:rPr>
              <w:t>0</w:t>
            </w:r>
            <w:r w:rsidR="00CA065F" w:rsidRPr="004D73A4">
              <w:rPr>
                <w:color w:val="000000"/>
                <w:lang w:val="en-IE" w:eastAsia="en-IE"/>
              </w:rPr>
              <w:t>*</w:t>
            </w:r>
            <w:r w:rsidR="00CA065F">
              <w:rPr>
                <w:color w:val="000000"/>
                <w:lang w:val="en-IE" w:eastAsia="en-IE"/>
              </w:rPr>
              <w:t>*</w:t>
            </w:r>
          </w:p>
        </w:tc>
      </w:tr>
      <w:tr w:rsidR="7EF235A9" w14:paraId="219AF830" w14:textId="77777777">
        <w:trPr>
          <w:trHeight w:val="290"/>
        </w:trPr>
        <w:tc>
          <w:tcPr>
            <w:tcW w:w="1838" w:type="dxa"/>
            <w:tcBorders>
              <w:top w:val="nil"/>
              <w:left w:val="single" w:sz="4" w:space="0" w:color="auto"/>
              <w:bottom w:val="single" w:sz="4" w:space="0" w:color="auto"/>
              <w:right w:val="single" w:sz="4" w:space="0" w:color="auto"/>
            </w:tcBorders>
            <w:noWrap/>
            <w:vAlign w:val="bottom"/>
            <w:hideMark/>
          </w:tcPr>
          <w:p w14:paraId="1B6E1DB9" w14:textId="213E1E20" w:rsidR="02DFF156" w:rsidRDefault="02DFF156" w:rsidP="7EF235A9">
            <w:pPr>
              <w:jc w:val="right"/>
              <w:rPr>
                <w:color w:val="000000"/>
                <w:lang w:val="en-IE" w:eastAsia="en-IE"/>
              </w:rPr>
            </w:pPr>
            <w:r>
              <w:rPr>
                <w:color w:val="000000"/>
                <w:lang w:val="en-IE" w:eastAsia="en-IE"/>
              </w:rPr>
              <w:t>2055</w:t>
            </w:r>
          </w:p>
        </w:tc>
        <w:tc>
          <w:tcPr>
            <w:tcW w:w="1843" w:type="dxa"/>
            <w:tcBorders>
              <w:top w:val="nil"/>
              <w:left w:val="nil"/>
              <w:bottom w:val="single" w:sz="4" w:space="0" w:color="auto"/>
              <w:right w:val="single" w:sz="4" w:space="0" w:color="auto"/>
            </w:tcBorders>
            <w:noWrap/>
            <w:hideMark/>
          </w:tcPr>
          <w:p w14:paraId="6EF596E8" w14:textId="797BC1CE" w:rsidR="7EF235A9" w:rsidRDefault="55A61216" w:rsidP="7EF235A9">
            <w:pPr>
              <w:jc w:val="right"/>
            </w:pPr>
            <w:r>
              <w:t>220</w:t>
            </w:r>
          </w:p>
        </w:tc>
        <w:tc>
          <w:tcPr>
            <w:tcW w:w="1843" w:type="dxa"/>
            <w:tcBorders>
              <w:top w:val="nil"/>
              <w:left w:val="nil"/>
              <w:bottom w:val="single" w:sz="4" w:space="0" w:color="auto"/>
              <w:right w:val="single" w:sz="4" w:space="0" w:color="auto"/>
            </w:tcBorders>
            <w:shd w:val="clear" w:color="auto" w:fill="D9D9D9"/>
            <w:noWrap/>
            <w:vAlign w:val="bottom"/>
            <w:hideMark/>
          </w:tcPr>
          <w:p w14:paraId="42B22552" w14:textId="1543B20C" w:rsidR="02DFF156" w:rsidRDefault="02DFF156" w:rsidP="7EF235A9">
            <w:pPr>
              <w:jc w:val="right"/>
              <w:rPr>
                <w:color w:val="000000"/>
                <w:lang w:val="en-IE" w:eastAsia="en-IE"/>
              </w:rPr>
            </w:pPr>
            <w:r>
              <w:rPr>
                <w:color w:val="000000"/>
                <w:lang w:val="en-IE" w:eastAsia="en-IE"/>
              </w:rPr>
              <w:t>520</w:t>
            </w:r>
            <w:r w:rsidR="53B0356F">
              <w:rPr>
                <w:color w:val="000000"/>
                <w:lang w:val="en-IE" w:eastAsia="en-IE"/>
              </w:rPr>
              <w:t>**</w:t>
            </w:r>
          </w:p>
        </w:tc>
      </w:tr>
    </w:tbl>
    <w:p w14:paraId="793C9D97" w14:textId="3692E2A5" w:rsidR="00CA065F" w:rsidRDefault="00CA065F" w:rsidP="6ACE85B9">
      <w:pPr>
        <w:jc w:val="both"/>
        <w:rPr>
          <w:i/>
          <w:iCs/>
          <w:sz w:val="18"/>
          <w:szCs w:val="18"/>
          <w:lang w:val="en-IE"/>
        </w:rPr>
      </w:pPr>
      <w:r w:rsidRPr="6ACE85B9">
        <w:rPr>
          <w:i/>
          <w:iCs/>
          <w:sz w:val="18"/>
          <w:szCs w:val="18"/>
          <w:lang w:val="en-IE"/>
        </w:rPr>
        <w:t xml:space="preserve">Note: * </w:t>
      </w:r>
      <w:r w:rsidRPr="6ACE85B9">
        <w:rPr>
          <w:i/>
          <w:iCs/>
          <w:sz w:val="18"/>
          <w:szCs w:val="18"/>
          <w:lang w:val="en-US"/>
        </w:rPr>
        <w:t>2018-202</w:t>
      </w:r>
      <w:r w:rsidR="003842AF" w:rsidRPr="6ACE85B9">
        <w:rPr>
          <w:i/>
          <w:iCs/>
          <w:sz w:val="18"/>
          <w:szCs w:val="18"/>
          <w:lang w:val="en-US"/>
        </w:rPr>
        <w:t>3</w:t>
      </w:r>
      <w:r w:rsidRPr="6ACE85B9">
        <w:rPr>
          <w:i/>
          <w:iCs/>
          <w:sz w:val="18"/>
          <w:szCs w:val="18"/>
          <w:lang w:val="en-US"/>
        </w:rPr>
        <w:t xml:space="preserve"> data are yearly average of daily value expressed in current EUR of dated EUX EUA. The conversion from current EUR</w:t>
      </w:r>
      <w:r w:rsidR="0090459B" w:rsidRPr="6ACE85B9">
        <w:rPr>
          <w:i/>
          <w:iCs/>
          <w:sz w:val="18"/>
          <w:szCs w:val="18"/>
          <w:lang w:val="en-US"/>
        </w:rPr>
        <w:t xml:space="preserve"> </w:t>
      </w:r>
      <w:r w:rsidRPr="6ACE85B9">
        <w:rPr>
          <w:i/>
          <w:iCs/>
          <w:sz w:val="18"/>
          <w:szCs w:val="18"/>
          <w:lang w:val="en-US"/>
        </w:rPr>
        <w:t>to EUR202</w:t>
      </w:r>
      <w:r w:rsidR="003842AF" w:rsidRPr="6ACE85B9">
        <w:rPr>
          <w:i/>
          <w:iCs/>
          <w:sz w:val="18"/>
          <w:szCs w:val="18"/>
          <w:lang w:val="en-US"/>
        </w:rPr>
        <w:t>3</w:t>
      </w:r>
      <w:r w:rsidRPr="6ACE85B9">
        <w:rPr>
          <w:i/>
          <w:iCs/>
          <w:sz w:val="18"/>
          <w:szCs w:val="18"/>
          <w:lang w:val="en-US"/>
        </w:rPr>
        <w:t xml:space="preserve"> uses the ESTAT HICP index (data extracted in </w:t>
      </w:r>
      <w:r w:rsidR="003842AF" w:rsidRPr="6ACE85B9">
        <w:rPr>
          <w:i/>
          <w:iCs/>
          <w:sz w:val="18"/>
          <w:szCs w:val="18"/>
          <w:lang w:val="en-US"/>
        </w:rPr>
        <w:t xml:space="preserve">February </w:t>
      </w:r>
      <w:r w:rsidRPr="6ACE85B9">
        <w:rPr>
          <w:i/>
          <w:iCs/>
          <w:sz w:val="18"/>
          <w:szCs w:val="18"/>
          <w:lang w:val="en-US"/>
        </w:rPr>
        <w:t>202</w:t>
      </w:r>
      <w:r w:rsidR="003842AF" w:rsidRPr="6ACE85B9">
        <w:rPr>
          <w:i/>
          <w:iCs/>
          <w:sz w:val="18"/>
          <w:szCs w:val="18"/>
          <w:lang w:val="en-US"/>
        </w:rPr>
        <w:t>4</w:t>
      </w:r>
      <w:r w:rsidR="002329C9" w:rsidRPr="6ACE85B9">
        <w:rPr>
          <w:i/>
          <w:iCs/>
          <w:sz w:val="18"/>
          <w:szCs w:val="18"/>
          <w:lang w:val="en-US"/>
        </w:rPr>
        <w:t>). *</w:t>
      </w:r>
      <w:r w:rsidRPr="6ACE85B9">
        <w:rPr>
          <w:i/>
          <w:iCs/>
          <w:sz w:val="18"/>
          <w:szCs w:val="18"/>
          <w:lang w:val="en-IE"/>
        </w:rPr>
        <w:t>*</w:t>
      </w:r>
      <w:r w:rsidRPr="6ACE85B9">
        <w:rPr>
          <w:sz w:val="22"/>
          <w:szCs w:val="22"/>
        </w:rPr>
        <w:t xml:space="preserve"> </w:t>
      </w:r>
      <w:r w:rsidRPr="6ACE85B9">
        <w:rPr>
          <w:i/>
          <w:iCs/>
          <w:sz w:val="18"/>
          <w:szCs w:val="18"/>
          <w:lang w:val="en-IE"/>
        </w:rPr>
        <w:t>The indicative post-2030 “WAM” trajectory is a modelling driver to reach</w:t>
      </w:r>
      <w:r w:rsidR="00782C8D" w:rsidRPr="6ACE85B9">
        <w:rPr>
          <w:i/>
          <w:iCs/>
          <w:sz w:val="18"/>
          <w:szCs w:val="18"/>
          <w:lang w:val="en-IE"/>
        </w:rPr>
        <w:t xml:space="preserve"> </w:t>
      </w:r>
      <w:r w:rsidRPr="6ACE85B9">
        <w:rPr>
          <w:i/>
          <w:iCs/>
          <w:sz w:val="18"/>
          <w:szCs w:val="18"/>
          <w:lang w:val="en-IE"/>
        </w:rPr>
        <w:t>the EU 2050 climate neutrality in the FF55 package analysis. It is acknowledged that national analyses projecting economy-wide GHG emissions compatible with the EU 2050 climate neutrality objective may provide a different carbon value trajectory.</w:t>
      </w:r>
    </w:p>
    <w:p w14:paraId="2576A5CA" w14:textId="4B53B228" w:rsidR="00CA065F" w:rsidRPr="00AC4210" w:rsidRDefault="6C819674" w:rsidP="6ACE85B9">
      <w:pPr>
        <w:jc w:val="both"/>
        <w:rPr>
          <w:i/>
          <w:iCs/>
          <w:sz w:val="18"/>
          <w:szCs w:val="18"/>
          <w:lang w:val="en-IE" w:eastAsia="en-US"/>
        </w:rPr>
      </w:pPr>
      <w:r w:rsidRPr="6ACE85B9">
        <w:rPr>
          <w:i/>
          <w:iCs/>
          <w:sz w:val="18"/>
          <w:szCs w:val="18"/>
          <w:lang w:val="en-IE"/>
        </w:rPr>
        <w:t xml:space="preserve">  *** The corresponding carbon prices expressed in nominal values are about </w:t>
      </w:r>
      <w:r w:rsidR="04D51C9C" w:rsidRPr="6ACE85B9">
        <w:rPr>
          <w:i/>
          <w:iCs/>
          <w:sz w:val="18"/>
          <w:szCs w:val="18"/>
          <w:lang w:val="en-IE"/>
        </w:rPr>
        <w:t>100</w:t>
      </w:r>
      <w:r w:rsidR="2BA12CA6" w:rsidRPr="6ACE85B9">
        <w:rPr>
          <w:i/>
          <w:iCs/>
          <w:sz w:val="18"/>
          <w:szCs w:val="18"/>
          <w:lang w:val="en-IE"/>
        </w:rPr>
        <w:t xml:space="preserve"> and </w:t>
      </w:r>
      <w:r w:rsidR="002329C9" w:rsidRPr="6ACE85B9">
        <w:rPr>
          <w:i/>
          <w:iCs/>
          <w:sz w:val="18"/>
          <w:szCs w:val="18"/>
          <w:lang w:val="en-IE"/>
        </w:rPr>
        <w:t>102 EUR</w:t>
      </w:r>
      <w:r w:rsidRPr="6ACE85B9">
        <w:rPr>
          <w:i/>
          <w:iCs/>
          <w:sz w:val="18"/>
          <w:szCs w:val="18"/>
          <w:lang w:val="en-IE"/>
        </w:rPr>
        <w:t xml:space="preserve"> / tCO2 for 2025 and 2030, assuming an index of </w:t>
      </w:r>
      <w:r w:rsidR="5AE99849" w:rsidRPr="6ACE85B9">
        <w:rPr>
          <w:i/>
          <w:iCs/>
          <w:sz w:val="18"/>
          <w:szCs w:val="18"/>
          <w:lang w:val="en-IE"/>
        </w:rPr>
        <w:t>1</w:t>
      </w:r>
      <w:r w:rsidR="4711524F" w:rsidRPr="6ACE85B9">
        <w:rPr>
          <w:i/>
          <w:iCs/>
          <w:sz w:val="18"/>
          <w:szCs w:val="18"/>
          <w:lang w:val="en-IE"/>
        </w:rPr>
        <w:t>26.38</w:t>
      </w:r>
      <w:r w:rsidR="5AE99849" w:rsidRPr="6ACE85B9">
        <w:rPr>
          <w:i/>
          <w:iCs/>
          <w:sz w:val="18"/>
          <w:szCs w:val="18"/>
          <w:lang w:val="en-IE"/>
        </w:rPr>
        <w:t xml:space="preserve"> in 202</w:t>
      </w:r>
      <w:r w:rsidR="63C4BABF" w:rsidRPr="6ACE85B9">
        <w:rPr>
          <w:i/>
          <w:iCs/>
          <w:sz w:val="18"/>
          <w:szCs w:val="18"/>
          <w:lang w:val="en-IE"/>
        </w:rPr>
        <w:t>3</w:t>
      </w:r>
      <w:r w:rsidR="5AE99849" w:rsidRPr="6ACE85B9">
        <w:rPr>
          <w:i/>
          <w:iCs/>
          <w:sz w:val="18"/>
          <w:szCs w:val="18"/>
          <w:lang w:val="en-IE"/>
        </w:rPr>
        <w:t xml:space="preserve">, </w:t>
      </w:r>
      <w:r w:rsidR="04D51C9C" w:rsidRPr="6ACE85B9">
        <w:rPr>
          <w:i/>
          <w:iCs/>
          <w:sz w:val="18"/>
          <w:szCs w:val="18"/>
          <w:lang w:val="en-IE"/>
        </w:rPr>
        <w:t>132</w:t>
      </w:r>
      <w:r w:rsidRPr="6ACE85B9">
        <w:rPr>
          <w:i/>
          <w:iCs/>
          <w:sz w:val="18"/>
          <w:szCs w:val="18"/>
          <w:lang w:val="en-IE"/>
        </w:rPr>
        <w:t xml:space="preserve"> in 2025 and </w:t>
      </w:r>
      <w:r w:rsidR="04D51C9C" w:rsidRPr="6ACE85B9">
        <w:rPr>
          <w:i/>
          <w:iCs/>
          <w:sz w:val="18"/>
          <w:szCs w:val="18"/>
          <w:lang w:val="en-IE"/>
        </w:rPr>
        <w:t>145.74</w:t>
      </w:r>
      <w:r w:rsidRPr="6ACE85B9">
        <w:rPr>
          <w:i/>
          <w:iCs/>
          <w:sz w:val="18"/>
          <w:szCs w:val="18"/>
          <w:lang w:val="en-IE"/>
        </w:rPr>
        <w:t xml:space="preserve"> in 2030, compared to 100 in 2015</w:t>
      </w:r>
      <w:r w:rsidR="00CA065F" w:rsidRPr="6ACE85B9">
        <w:rPr>
          <w:rStyle w:val="FootnoteReference"/>
          <w:i/>
          <w:iCs/>
          <w:sz w:val="18"/>
          <w:szCs w:val="18"/>
          <w:lang w:val="en-IE"/>
        </w:rPr>
        <w:footnoteReference w:id="8"/>
      </w:r>
      <w:r w:rsidRPr="6ACE85B9">
        <w:rPr>
          <w:i/>
          <w:iCs/>
          <w:sz w:val="18"/>
          <w:szCs w:val="18"/>
          <w:lang w:val="en-IE"/>
        </w:rPr>
        <w:t>.</w:t>
      </w:r>
    </w:p>
    <w:p w14:paraId="38E60B1C" w14:textId="77777777" w:rsidR="003842AF" w:rsidRDefault="003842AF" w:rsidP="00CA065F">
      <w:pPr>
        <w:jc w:val="both"/>
        <w:rPr>
          <w:i/>
          <w:iCs/>
          <w:sz w:val="18"/>
          <w:szCs w:val="18"/>
          <w:lang w:val="en-IE"/>
        </w:rPr>
      </w:pPr>
    </w:p>
    <w:p w14:paraId="45FFC6FF" w14:textId="77777777" w:rsidR="003842AF" w:rsidRDefault="003842AF" w:rsidP="003842AF">
      <w:pPr>
        <w:jc w:val="both"/>
        <w:rPr>
          <w:sz w:val="22"/>
          <w:szCs w:val="22"/>
          <w:lang w:val="en-IE"/>
        </w:rPr>
      </w:pPr>
    </w:p>
    <w:p w14:paraId="48F4DDAB" w14:textId="77777777" w:rsidR="00351A98" w:rsidRDefault="00351A98" w:rsidP="00F611EB">
      <w:pPr>
        <w:pStyle w:val="Caption"/>
        <w:keepNext/>
        <w:rPr>
          <w:rFonts w:ascii="Times New Roman" w:hAnsi="Times New Roman"/>
        </w:rPr>
      </w:pPr>
    </w:p>
    <w:p w14:paraId="21F09901" w14:textId="77777777" w:rsidR="00351A98" w:rsidRDefault="00351A98" w:rsidP="00F611EB">
      <w:pPr>
        <w:pStyle w:val="Caption"/>
        <w:keepNext/>
        <w:rPr>
          <w:rFonts w:ascii="Times New Roman" w:hAnsi="Times New Roman"/>
        </w:rPr>
      </w:pPr>
    </w:p>
    <w:p w14:paraId="008A9E51" w14:textId="77777777" w:rsidR="00EB2EE6" w:rsidRPr="00EB2EE6" w:rsidRDefault="00EB2EE6" w:rsidP="00EB2EE6">
      <w:pPr>
        <w:rPr>
          <w:lang w:eastAsia="en-US"/>
        </w:rPr>
      </w:pPr>
    </w:p>
    <w:p w14:paraId="48C7D34A" w14:textId="77777777" w:rsidR="00351A98" w:rsidRDefault="00351A98" w:rsidP="00F611EB">
      <w:pPr>
        <w:pStyle w:val="Caption"/>
        <w:keepNext/>
        <w:rPr>
          <w:rFonts w:ascii="Times New Roman" w:hAnsi="Times New Roman"/>
        </w:rPr>
      </w:pPr>
    </w:p>
    <w:p w14:paraId="0ED2F6C8" w14:textId="77777777" w:rsidR="00EB2EE6" w:rsidRPr="00EB2EE6" w:rsidRDefault="00EB2EE6" w:rsidP="00EB2EE6">
      <w:pPr>
        <w:rPr>
          <w:lang w:eastAsia="en-US"/>
        </w:rPr>
      </w:pPr>
    </w:p>
    <w:p w14:paraId="625E0278" w14:textId="0F4BC0B3" w:rsidR="00EB2EE6" w:rsidRPr="00EB2EE6" w:rsidRDefault="003842AF" w:rsidP="00F611EB">
      <w:pPr>
        <w:pStyle w:val="Caption"/>
        <w:keepNext/>
        <w:rPr>
          <w:rFonts w:ascii="Times New Roman" w:hAnsi="Times New Roman"/>
          <w:b w:val="0"/>
          <w:bCs w:val="0"/>
          <w:sz w:val="22"/>
          <w:szCs w:val="22"/>
          <w:lang w:eastAsia="en-GB"/>
        </w:rPr>
      </w:pPr>
      <w:r w:rsidRPr="00EB2EE6">
        <w:rPr>
          <w:rFonts w:ascii="Times New Roman" w:hAnsi="Times New Roman"/>
          <w:b w:val="0"/>
          <w:bCs w:val="0"/>
          <w:sz w:val="22"/>
          <w:szCs w:val="22"/>
          <w:lang w:eastAsia="en-GB"/>
        </w:rPr>
        <w:lastRenderedPageBreak/>
        <w:fldChar w:fldCharType="begin"/>
      </w:r>
      <w:r w:rsidRPr="00EB2EE6">
        <w:rPr>
          <w:rFonts w:ascii="Times New Roman" w:hAnsi="Times New Roman"/>
          <w:b w:val="0"/>
          <w:bCs w:val="0"/>
          <w:sz w:val="22"/>
          <w:szCs w:val="22"/>
          <w:lang w:eastAsia="en-GB"/>
        </w:rPr>
        <w:instrText xml:space="preserve"> REF _Ref160015292 \h </w:instrText>
      </w:r>
      <w:r w:rsidR="002329C9" w:rsidRPr="00EB2EE6">
        <w:rPr>
          <w:rFonts w:ascii="Times New Roman" w:hAnsi="Times New Roman"/>
          <w:b w:val="0"/>
          <w:bCs w:val="0"/>
          <w:sz w:val="22"/>
          <w:szCs w:val="22"/>
          <w:lang w:eastAsia="en-GB"/>
        </w:rPr>
        <w:instrText xml:space="preserve"> \* MERGEFORMAT </w:instrText>
      </w:r>
      <w:r w:rsidRPr="00EB2EE6">
        <w:rPr>
          <w:rFonts w:ascii="Times New Roman" w:hAnsi="Times New Roman"/>
          <w:b w:val="0"/>
          <w:bCs w:val="0"/>
          <w:sz w:val="22"/>
          <w:szCs w:val="22"/>
          <w:lang w:eastAsia="en-GB"/>
        </w:rPr>
      </w:r>
      <w:r w:rsidRPr="00EB2EE6">
        <w:rPr>
          <w:rFonts w:ascii="Times New Roman" w:hAnsi="Times New Roman"/>
          <w:b w:val="0"/>
          <w:bCs w:val="0"/>
          <w:sz w:val="22"/>
          <w:szCs w:val="22"/>
          <w:lang w:eastAsia="en-GB"/>
        </w:rPr>
        <w:fldChar w:fldCharType="separate"/>
      </w:r>
      <w:r w:rsidR="00351A98" w:rsidRPr="00EB2EE6">
        <w:rPr>
          <w:rFonts w:ascii="Times New Roman" w:hAnsi="Times New Roman"/>
          <w:b w:val="0"/>
          <w:bCs w:val="0"/>
          <w:sz w:val="22"/>
          <w:szCs w:val="22"/>
          <w:lang w:eastAsia="en-GB"/>
        </w:rPr>
        <w:t>Table 4</w:t>
      </w:r>
      <w:r w:rsidRPr="00EB2EE6">
        <w:rPr>
          <w:rFonts w:ascii="Times New Roman" w:hAnsi="Times New Roman"/>
          <w:b w:val="0"/>
          <w:bCs w:val="0"/>
          <w:sz w:val="22"/>
          <w:szCs w:val="22"/>
          <w:lang w:eastAsia="en-GB"/>
        </w:rPr>
        <w:fldChar w:fldCharType="end"/>
      </w:r>
      <w:r w:rsidRPr="00EB2EE6">
        <w:rPr>
          <w:rFonts w:ascii="Times New Roman" w:hAnsi="Times New Roman"/>
          <w:b w:val="0"/>
          <w:bCs w:val="0"/>
          <w:sz w:val="22"/>
          <w:szCs w:val="22"/>
          <w:lang w:eastAsia="en-GB"/>
        </w:rPr>
        <w:t xml:space="preserve"> shows the trajectory of the carbon price </w:t>
      </w:r>
      <w:r w:rsidR="00CD78BB" w:rsidRPr="00EB2EE6">
        <w:rPr>
          <w:rFonts w:ascii="Times New Roman" w:hAnsi="Times New Roman"/>
          <w:b w:val="0"/>
          <w:bCs w:val="0"/>
          <w:sz w:val="22"/>
          <w:szCs w:val="22"/>
          <w:lang w:eastAsia="en-GB"/>
        </w:rPr>
        <w:t xml:space="preserve">for sectors under </w:t>
      </w:r>
      <w:r w:rsidRPr="00EB2EE6">
        <w:rPr>
          <w:rFonts w:ascii="Times New Roman" w:hAnsi="Times New Roman"/>
          <w:b w:val="0"/>
          <w:bCs w:val="0"/>
          <w:sz w:val="22"/>
          <w:szCs w:val="22"/>
          <w:lang w:eastAsia="en-GB"/>
        </w:rPr>
        <w:t>the ETS</w:t>
      </w:r>
      <w:r w:rsidR="00106DA1" w:rsidRPr="00EB2EE6">
        <w:rPr>
          <w:rFonts w:ascii="Times New Roman" w:hAnsi="Times New Roman"/>
          <w:b w:val="0"/>
          <w:bCs w:val="0"/>
          <w:sz w:val="22"/>
          <w:szCs w:val="22"/>
          <w:lang w:eastAsia="en-GB"/>
        </w:rPr>
        <w:t>2</w:t>
      </w:r>
      <w:r w:rsidRPr="00EB2EE6">
        <w:rPr>
          <w:rFonts w:ascii="Times New Roman" w:hAnsi="Times New Roman"/>
          <w:b w:val="0"/>
          <w:bCs w:val="0"/>
          <w:sz w:val="22"/>
          <w:szCs w:val="22"/>
          <w:lang w:eastAsia="en-GB"/>
        </w:rPr>
        <w:t xml:space="preserve"> up to 2030.</w:t>
      </w:r>
      <w:bookmarkStart w:id="5" w:name="_Ref160015292"/>
    </w:p>
    <w:p w14:paraId="0C8FE130" w14:textId="1F92EB6A" w:rsidR="003842AF" w:rsidRDefault="003842AF" w:rsidP="00F611EB">
      <w:pPr>
        <w:pStyle w:val="Caption"/>
        <w:keepNext/>
        <w:rPr>
          <w:rFonts w:ascii="Times New Roman" w:hAnsi="Times New Roman"/>
        </w:rPr>
      </w:pPr>
      <w:r w:rsidRPr="002329C9">
        <w:rPr>
          <w:rFonts w:ascii="Times New Roman" w:hAnsi="Times New Roman"/>
        </w:rPr>
        <w:t xml:space="preserve">Table </w:t>
      </w:r>
      <w:r w:rsidRPr="002329C9">
        <w:rPr>
          <w:rFonts w:ascii="Times New Roman" w:hAnsi="Times New Roman"/>
        </w:rPr>
        <w:fldChar w:fldCharType="begin"/>
      </w:r>
      <w:r w:rsidRPr="002329C9">
        <w:rPr>
          <w:rFonts w:ascii="Times New Roman" w:hAnsi="Times New Roman"/>
        </w:rPr>
        <w:instrText xml:space="preserve"> SEQ Table \* ARABIC </w:instrText>
      </w:r>
      <w:r w:rsidRPr="002329C9">
        <w:rPr>
          <w:rFonts w:ascii="Times New Roman" w:hAnsi="Times New Roman"/>
        </w:rPr>
        <w:fldChar w:fldCharType="separate"/>
      </w:r>
      <w:r w:rsidR="00351A98">
        <w:rPr>
          <w:rFonts w:ascii="Times New Roman" w:hAnsi="Times New Roman"/>
          <w:noProof/>
        </w:rPr>
        <w:t>4</w:t>
      </w:r>
      <w:r w:rsidRPr="002329C9">
        <w:rPr>
          <w:rFonts w:ascii="Times New Roman" w:hAnsi="Times New Roman"/>
        </w:rPr>
        <w:fldChar w:fldCharType="end"/>
      </w:r>
      <w:bookmarkEnd w:id="5"/>
      <w:r w:rsidRPr="004D73A4">
        <w:rPr>
          <w:rFonts w:ascii="Times New Roman" w:hAnsi="Times New Roman"/>
        </w:rPr>
        <w:t>. Harmonised trajectory for the carbon price / value</w:t>
      </w:r>
      <w:r w:rsidR="0068592F">
        <w:rPr>
          <w:rFonts w:ascii="Times New Roman" w:hAnsi="Times New Roman"/>
        </w:rPr>
        <w:t xml:space="preserve"> in sectors under ETS</w:t>
      </w:r>
      <w:r w:rsidR="00106DA1">
        <w:rPr>
          <w:rFonts w:ascii="Times New Roman" w:hAnsi="Times New Roman"/>
        </w:rPr>
        <w:t>2</w:t>
      </w:r>
      <w:r>
        <w:rPr>
          <w:rFonts w:ascii="Times New Roman" w:hAnsi="Times New Roman"/>
        </w:rPr>
        <w:t xml:space="preserve"> (EUR2023 / tCO2)</w:t>
      </w:r>
    </w:p>
    <w:tbl>
      <w:tblPr>
        <w:tblW w:w="5524" w:type="dxa"/>
        <w:tblInd w:w="113" w:type="dxa"/>
        <w:tblLook w:val="04A0" w:firstRow="1" w:lastRow="0" w:firstColumn="1" w:lastColumn="0" w:noHBand="0" w:noVBand="1"/>
      </w:tblPr>
      <w:tblGrid>
        <w:gridCol w:w="1838"/>
        <w:gridCol w:w="3686"/>
      </w:tblGrid>
      <w:tr w:rsidR="003842AF" w:rsidRPr="004D73A4" w14:paraId="6252D608" w14:textId="77777777" w:rsidTr="6ACE85B9">
        <w:trPr>
          <w:trHeight w:val="284"/>
        </w:trPr>
        <w:tc>
          <w:tcPr>
            <w:tcW w:w="1838" w:type="dxa"/>
            <w:tcBorders>
              <w:top w:val="single" w:sz="4" w:space="0" w:color="auto"/>
              <w:left w:val="single" w:sz="4" w:space="0" w:color="auto"/>
              <w:bottom w:val="single" w:sz="4" w:space="0" w:color="auto"/>
              <w:right w:val="single" w:sz="4" w:space="0" w:color="auto"/>
            </w:tcBorders>
            <w:noWrap/>
            <w:vAlign w:val="bottom"/>
            <w:hideMark/>
          </w:tcPr>
          <w:p w14:paraId="06BE9807" w14:textId="56ADB6B4" w:rsidR="003842AF" w:rsidRPr="004D73A4" w:rsidRDefault="003842AF" w:rsidP="00B948E2">
            <w:pPr>
              <w:rPr>
                <w:color w:val="000000"/>
                <w:lang w:val="en-IE" w:eastAsia="en-IE"/>
              </w:rPr>
            </w:pPr>
            <w:r w:rsidRPr="004D73A4">
              <w:rPr>
                <w:color w:val="000000"/>
                <w:lang w:val="en-IE" w:eastAsia="en-IE"/>
              </w:rPr>
              <w:t>EUR 202</w:t>
            </w:r>
            <w:r w:rsidR="00F10BAA">
              <w:rPr>
                <w:color w:val="000000"/>
                <w:lang w:val="en-IE" w:eastAsia="en-IE"/>
              </w:rPr>
              <w:t>3</w:t>
            </w:r>
            <w:r w:rsidRPr="004D73A4">
              <w:rPr>
                <w:color w:val="000000"/>
                <w:lang w:val="en-IE" w:eastAsia="en-IE"/>
              </w:rPr>
              <w:t xml:space="preserve"> / tCO2</w:t>
            </w:r>
          </w:p>
        </w:tc>
        <w:tc>
          <w:tcPr>
            <w:tcW w:w="3686" w:type="dxa"/>
            <w:tcBorders>
              <w:top w:val="single" w:sz="4" w:space="0" w:color="auto"/>
              <w:left w:val="nil"/>
              <w:bottom w:val="single" w:sz="4" w:space="0" w:color="auto"/>
              <w:right w:val="single" w:sz="4" w:space="0" w:color="auto"/>
            </w:tcBorders>
            <w:noWrap/>
            <w:vAlign w:val="bottom"/>
            <w:hideMark/>
          </w:tcPr>
          <w:p w14:paraId="58DAF0C0" w14:textId="692594AC" w:rsidR="003842AF" w:rsidRPr="004D73A4" w:rsidRDefault="003842AF" w:rsidP="00B948E2">
            <w:pPr>
              <w:jc w:val="center"/>
              <w:rPr>
                <w:color w:val="000000"/>
                <w:lang w:val="en-IE" w:eastAsia="en-IE"/>
              </w:rPr>
            </w:pPr>
            <w:r w:rsidRPr="004D73A4">
              <w:rPr>
                <w:color w:val="000000"/>
                <w:lang w:val="en-IE" w:eastAsia="en-IE"/>
              </w:rPr>
              <w:t>Common trajectory carbon price ETS</w:t>
            </w:r>
            <w:r>
              <w:rPr>
                <w:color w:val="000000"/>
                <w:lang w:val="en-IE" w:eastAsia="en-IE"/>
              </w:rPr>
              <w:t xml:space="preserve"> II</w:t>
            </w:r>
            <w:r w:rsidRPr="004D73A4">
              <w:rPr>
                <w:color w:val="000000"/>
                <w:lang w:val="en-IE" w:eastAsia="en-IE"/>
              </w:rPr>
              <w:t xml:space="preserve"> up to 2030</w:t>
            </w:r>
          </w:p>
        </w:tc>
      </w:tr>
      <w:tr w:rsidR="003842AF" w:rsidRPr="004D73A4" w14:paraId="59B621C7"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0E84AB74" w14:textId="2D1FE56A" w:rsidR="003842AF" w:rsidRPr="004D73A4" w:rsidRDefault="003842AF" w:rsidP="00B948E2">
            <w:pPr>
              <w:jc w:val="right"/>
              <w:rPr>
                <w:color w:val="000000"/>
                <w:lang w:val="en-IE" w:eastAsia="en-IE"/>
              </w:rPr>
            </w:pPr>
            <w:r w:rsidRPr="004D73A4">
              <w:rPr>
                <w:color w:val="000000"/>
                <w:lang w:val="en-IE" w:eastAsia="en-IE"/>
              </w:rPr>
              <w:t>202</w:t>
            </w:r>
            <w:r w:rsidR="00F10BAA">
              <w:rPr>
                <w:color w:val="000000"/>
                <w:lang w:val="en-IE" w:eastAsia="en-IE"/>
              </w:rPr>
              <w:t>7</w:t>
            </w:r>
          </w:p>
        </w:tc>
        <w:tc>
          <w:tcPr>
            <w:tcW w:w="3686" w:type="dxa"/>
            <w:tcBorders>
              <w:top w:val="nil"/>
              <w:left w:val="nil"/>
              <w:bottom w:val="single" w:sz="4" w:space="0" w:color="auto"/>
              <w:right w:val="single" w:sz="4" w:space="0" w:color="auto"/>
            </w:tcBorders>
            <w:noWrap/>
            <w:vAlign w:val="bottom"/>
            <w:hideMark/>
          </w:tcPr>
          <w:p w14:paraId="12B2355E" w14:textId="7D04D776" w:rsidR="003842AF" w:rsidRPr="000D3806" w:rsidRDefault="00F10BAA" w:rsidP="00B948E2">
            <w:pPr>
              <w:jc w:val="center"/>
              <w:rPr>
                <w:color w:val="000000"/>
                <w:lang w:val="en-IE" w:eastAsia="en-IE"/>
              </w:rPr>
            </w:pPr>
            <w:r>
              <w:rPr>
                <w:color w:val="000000"/>
              </w:rPr>
              <w:t>30*</w:t>
            </w:r>
          </w:p>
        </w:tc>
      </w:tr>
      <w:tr w:rsidR="003842AF" w:rsidRPr="004D73A4" w14:paraId="0C053F62"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3B3AA5D6" w14:textId="76F53015" w:rsidR="003842AF" w:rsidRPr="004D73A4" w:rsidRDefault="003842AF" w:rsidP="00B948E2">
            <w:pPr>
              <w:jc w:val="right"/>
              <w:rPr>
                <w:color w:val="000000"/>
                <w:lang w:val="en-IE" w:eastAsia="en-IE"/>
              </w:rPr>
            </w:pPr>
            <w:r w:rsidRPr="004D73A4">
              <w:rPr>
                <w:color w:val="000000"/>
                <w:lang w:val="en-IE" w:eastAsia="en-IE"/>
              </w:rPr>
              <w:t>202</w:t>
            </w:r>
            <w:r w:rsidR="00F10BAA">
              <w:rPr>
                <w:color w:val="000000"/>
                <w:lang w:val="en-IE" w:eastAsia="en-IE"/>
              </w:rPr>
              <w:t>8</w:t>
            </w:r>
          </w:p>
        </w:tc>
        <w:tc>
          <w:tcPr>
            <w:tcW w:w="3686" w:type="dxa"/>
            <w:tcBorders>
              <w:top w:val="nil"/>
              <w:left w:val="nil"/>
              <w:bottom w:val="single" w:sz="4" w:space="0" w:color="auto"/>
              <w:right w:val="single" w:sz="4" w:space="0" w:color="auto"/>
            </w:tcBorders>
            <w:noWrap/>
            <w:vAlign w:val="bottom"/>
            <w:hideMark/>
          </w:tcPr>
          <w:p w14:paraId="53F8D4B6" w14:textId="286BFE37" w:rsidR="003842AF" w:rsidRPr="000D3806" w:rsidRDefault="216FCE32" w:rsidP="00B948E2">
            <w:pPr>
              <w:jc w:val="center"/>
              <w:rPr>
                <w:color w:val="000000"/>
                <w:lang w:val="en-IE" w:eastAsia="en-IE"/>
              </w:rPr>
            </w:pPr>
            <w:r>
              <w:rPr>
                <w:color w:val="000000"/>
              </w:rPr>
              <w:t>50</w:t>
            </w:r>
            <w:r w:rsidR="04D51C9C">
              <w:rPr>
                <w:color w:val="000000"/>
              </w:rPr>
              <w:t>*</w:t>
            </w:r>
          </w:p>
        </w:tc>
      </w:tr>
      <w:tr w:rsidR="003842AF" w:rsidRPr="004D73A4" w14:paraId="6C680198"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405D5058" w14:textId="0B978259" w:rsidR="003842AF" w:rsidRPr="004D73A4" w:rsidRDefault="003842AF" w:rsidP="00B948E2">
            <w:pPr>
              <w:jc w:val="right"/>
              <w:rPr>
                <w:color w:val="000000"/>
                <w:lang w:val="en-IE" w:eastAsia="en-IE"/>
              </w:rPr>
            </w:pPr>
            <w:r w:rsidRPr="004D73A4">
              <w:rPr>
                <w:color w:val="000000"/>
                <w:lang w:val="en-IE" w:eastAsia="en-IE"/>
              </w:rPr>
              <w:t>202</w:t>
            </w:r>
            <w:r w:rsidR="00F10BAA">
              <w:rPr>
                <w:color w:val="000000"/>
                <w:lang w:val="en-IE" w:eastAsia="en-IE"/>
              </w:rPr>
              <w:t>9</w:t>
            </w:r>
          </w:p>
        </w:tc>
        <w:tc>
          <w:tcPr>
            <w:tcW w:w="3686" w:type="dxa"/>
            <w:tcBorders>
              <w:top w:val="nil"/>
              <w:left w:val="nil"/>
              <w:bottom w:val="single" w:sz="4" w:space="0" w:color="auto"/>
              <w:right w:val="single" w:sz="4" w:space="0" w:color="auto"/>
            </w:tcBorders>
            <w:noWrap/>
            <w:vAlign w:val="bottom"/>
            <w:hideMark/>
          </w:tcPr>
          <w:p w14:paraId="56E00D38" w14:textId="0A2BCE83" w:rsidR="003842AF" w:rsidRPr="000D3806" w:rsidRDefault="04D51C9C" w:rsidP="00B948E2">
            <w:pPr>
              <w:jc w:val="center"/>
              <w:rPr>
                <w:color w:val="000000"/>
                <w:lang w:val="en-IE" w:eastAsia="en-IE"/>
              </w:rPr>
            </w:pPr>
            <w:r>
              <w:rPr>
                <w:color w:val="000000"/>
              </w:rPr>
              <w:t>5</w:t>
            </w:r>
            <w:r w:rsidR="115A35A3">
              <w:rPr>
                <w:color w:val="000000"/>
              </w:rPr>
              <w:t>5</w:t>
            </w:r>
            <w:r w:rsidR="56729DCD">
              <w:rPr>
                <w:color w:val="000000"/>
              </w:rPr>
              <w:t>*</w:t>
            </w:r>
          </w:p>
        </w:tc>
      </w:tr>
      <w:tr w:rsidR="003842AF" w:rsidRPr="004D73A4" w14:paraId="678133A5" w14:textId="77777777" w:rsidTr="6ACE85B9">
        <w:trPr>
          <w:trHeight w:val="290"/>
        </w:trPr>
        <w:tc>
          <w:tcPr>
            <w:tcW w:w="1838" w:type="dxa"/>
            <w:tcBorders>
              <w:top w:val="nil"/>
              <w:left w:val="single" w:sz="4" w:space="0" w:color="auto"/>
              <w:bottom w:val="single" w:sz="4" w:space="0" w:color="auto"/>
              <w:right w:val="single" w:sz="4" w:space="0" w:color="auto"/>
            </w:tcBorders>
            <w:noWrap/>
            <w:vAlign w:val="bottom"/>
            <w:hideMark/>
          </w:tcPr>
          <w:p w14:paraId="6D1225C4" w14:textId="77777777" w:rsidR="003842AF" w:rsidRPr="004D73A4" w:rsidRDefault="003842AF" w:rsidP="00B948E2">
            <w:pPr>
              <w:jc w:val="right"/>
              <w:rPr>
                <w:color w:val="000000"/>
                <w:lang w:val="en-IE" w:eastAsia="en-IE"/>
              </w:rPr>
            </w:pPr>
            <w:r w:rsidRPr="004D73A4">
              <w:rPr>
                <w:color w:val="000000"/>
                <w:lang w:val="en-IE" w:eastAsia="en-IE"/>
              </w:rPr>
              <w:t>2030</w:t>
            </w:r>
          </w:p>
        </w:tc>
        <w:tc>
          <w:tcPr>
            <w:tcW w:w="3686" w:type="dxa"/>
            <w:tcBorders>
              <w:top w:val="nil"/>
              <w:left w:val="nil"/>
              <w:bottom w:val="single" w:sz="4" w:space="0" w:color="auto"/>
              <w:right w:val="single" w:sz="4" w:space="0" w:color="auto"/>
            </w:tcBorders>
            <w:noWrap/>
            <w:vAlign w:val="bottom"/>
            <w:hideMark/>
          </w:tcPr>
          <w:p w14:paraId="6C3FD2A7" w14:textId="47266583" w:rsidR="003842AF" w:rsidRPr="000D3806" w:rsidRDefault="04D51C9C" w:rsidP="00B948E2">
            <w:pPr>
              <w:jc w:val="center"/>
              <w:rPr>
                <w:color w:val="000000"/>
                <w:lang w:val="en-IE" w:eastAsia="en-IE"/>
              </w:rPr>
            </w:pPr>
            <w:r>
              <w:rPr>
                <w:color w:val="000000"/>
              </w:rPr>
              <w:t>5</w:t>
            </w:r>
            <w:r w:rsidR="115A35A3">
              <w:rPr>
                <w:color w:val="000000"/>
              </w:rPr>
              <w:t>5</w:t>
            </w:r>
            <w:r w:rsidR="56729DCD">
              <w:rPr>
                <w:color w:val="000000"/>
              </w:rPr>
              <w:t>*</w:t>
            </w:r>
          </w:p>
        </w:tc>
      </w:tr>
    </w:tbl>
    <w:p w14:paraId="5F0C7F82" w14:textId="59F35D58" w:rsidR="003842AF" w:rsidRDefault="003842AF" w:rsidP="53B862E4">
      <w:pPr>
        <w:jc w:val="both"/>
        <w:rPr>
          <w:i/>
          <w:iCs/>
          <w:sz w:val="18"/>
          <w:szCs w:val="18"/>
          <w:lang w:val="en-IE"/>
        </w:rPr>
      </w:pPr>
      <w:r w:rsidRPr="00AC4210">
        <w:rPr>
          <w:i/>
          <w:iCs/>
          <w:sz w:val="18"/>
          <w:szCs w:val="18"/>
          <w:lang w:val="en-IE"/>
        </w:rPr>
        <w:t xml:space="preserve">Note: </w:t>
      </w:r>
      <w:r w:rsidR="56729DCD" w:rsidRPr="53B862E4">
        <w:rPr>
          <w:i/>
          <w:iCs/>
          <w:sz w:val="18"/>
          <w:szCs w:val="18"/>
          <w:lang w:val="en-IE"/>
        </w:rPr>
        <w:t xml:space="preserve">* The corresponding carbon prices expressed in nominal values are about </w:t>
      </w:r>
      <w:r w:rsidR="0919CC01" w:rsidRPr="53B862E4">
        <w:rPr>
          <w:i/>
          <w:iCs/>
          <w:sz w:val="18"/>
          <w:szCs w:val="18"/>
          <w:lang w:val="en-IE"/>
        </w:rPr>
        <w:t>32, 53, 61 and 62</w:t>
      </w:r>
      <w:r w:rsidR="56729DCD" w:rsidRPr="53B862E4">
        <w:rPr>
          <w:i/>
          <w:iCs/>
          <w:sz w:val="18"/>
          <w:szCs w:val="18"/>
          <w:lang w:val="en-IE"/>
        </w:rPr>
        <w:t xml:space="preserve"> and EUR / tCO2 for 202</w:t>
      </w:r>
      <w:r w:rsidR="04D51C9C" w:rsidRPr="53B862E4">
        <w:rPr>
          <w:i/>
          <w:iCs/>
          <w:sz w:val="18"/>
          <w:szCs w:val="18"/>
          <w:lang w:val="en-IE"/>
        </w:rPr>
        <w:t>7, 2028, 2029</w:t>
      </w:r>
      <w:r w:rsidR="56729DCD" w:rsidRPr="53B862E4">
        <w:rPr>
          <w:i/>
          <w:iCs/>
          <w:sz w:val="18"/>
          <w:szCs w:val="18"/>
          <w:lang w:val="en-IE"/>
        </w:rPr>
        <w:t xml:space="preserve"> and 2030, assuming an index of 1</w:t>
      </w:r>
      <w:r w:rsidR="04D51C9C" w:rsidRPr="53B862E4">
        <w:rPr>
          <w:i/>
          <w:iCs/>
          <w:sz w:val="18"/>
          <w:szCs w:val="18"/>
          <w:lang w:val="en-IE"/>
        </w:rPr>
        <w:t>26</w:t>
      </w:r>
      <w:r w:rsidR="56729DCD" w:rsidRPr="53B862E4">
        <w:rPr>
          <w:i/>
          <w:iCs/>
          <w:sz w:val="18"/>
          <w:szCs w:val="18"/>
          <w:lang w:val="en-IE"/>
        </w:rPr>
        <w:t>.</w:t>
      </w:r>
      <w:r w:rsidR="04D51C9C" w:rsidRPr="53B862E4">
        <w:rPr>
          <w:i/>
          <w:iCs/>
          <w:sz w:val="18"/>
          <w:szCs w:val="18"/>
          <w:lang w:val="en-IE"/>
        </w:rPr>
        <w:t>38</w:t>
      </w:r>
      <w:r w:rsidR="56729DCD" w:rsidRPr="53B862E4">
        <w:rPr>
          <w:i/>
          <w:iCs/>
          <w:sz w:val="18"/>
          <w:szCs w:val="18"/>
          <w:lang w:val="en-IE"/>
        </w:rPr>
        <w:t xml:space="preserve"> in 202</w:t>
      </w:r>
      <w:r w:rsidR="04D51C9C" w:rsidRPr="53B862E4">
        <w:rPr>
          <w:i/>
          <w:iCs/>
          <w:sz w:val="18"/>
          <w:szCs w:val="18"/>
          <w:lang w:val="en-IE"/>
        </w:rPr>
        <w:t>3</w:t>
      </w:r>
      <w:r w:rsidR="56729DCD" w:rsidRPr="53B862E4">
        <w:rPr>
          <w:i/>
          <w:iCs/>
          <w:sz w:val="18"/>
          <w:szCs w:val="18"/>
          <w:lang w:val="en-IE"/>
        </w:rPr>
        <w:t>,</w:t>
      </w:r>
      <w:r w:rsidR="04D51C9C" w:rsidRPr="53B862E4">
        <w:rPr>
          <w:i/>
          <w:iCs/>
          <w:sz w:val="18"/>
          <w:szCs w:val="18"/>
          <w:lang w:val="en-IE"/>
        </w:rPr>
        <w:t xml:space="preserve"> 137.33 in 2027,</w:t>
      </w:r>
      <w:r w:rsidR="56729DCD" w:rsidRPr="53B862E4">
        <w:rPr>
          <w:i/>
          <w:iCs/>
          <w:sz w:val="18"/>
          <w:szCs w:val="18"/>
          <w:lang w:val="en-IE"/>
        </w:rPr>
        <w:t xml:space="preserve"> </w:t>
      </w:r>
      <w:r w:rsidR="04D51C9C" w:rsidRPr="53B862E4">
        <w:rPr>
          <w:i/>
          <w:iCs/>
          <w:sz w:val="18"/>
          <w:szCs w:val="18"/>
          <w:lang w:val="en-IE"/>
        </w:rPr>
        <w:t>140.08</w:t>
      </w:r>
      <w:r w:rsidR="56729DCD" w:rsidRPr="53B862E4">
        <w:rPr>
          <w:i/>
          <w:iCs/>
          <w:sz w:val="18"/>
          <w:szCs w:val="18"/>
          <w:lang w:val="en-IE"/>
        </w:rPr>
        <w:t xml:space="preserve"> in 202</w:t>
      </w:r>
      <w:r w:rsidR="04D51C9C" w:rsidRPr="53B862E4">
        <w:rPr>
          <w:i/>
          <w:iCs/>
          <w:sz w:val="18"/>
          <w:szCs w:val="18"/>
          <w:lang w:val="en-IE"/>
        </w:rPr>
        <w:t>8</w:t>
      </w:r>
      <w:r w:rsidR="56729DCD" w:rsidRPr="53B862E4">
        <w:rPr>
          <w:i/>
          <w:iCs/>
          <w:sz w:val="18"/>
          <w:szCs w:val="18"/>
          <w:lang w:val="en-IE"/>
        </w:rPr>
        <w:t xml:space="preserve"> and </w:t>
      </w:r>
      <w:r w:rsidR="04D51C9C" w:rsidRPr="53B862E4">
        <w:rPr>
          <w:i/>
          <w:iCs/>
          <w:sz w:val="18"/>
          <w:szCs w:val="18"/>
          <w:lang w:val="en-IE"/>
        </w:rPr>
        <w:t>142.88</w:t>
      </w:r>
      <w:r w:rsidR="56729DCD" w:rsidRPr="53B862E4">
        <w:rPr>
          <w:i/>
          <w:iCs/>
          <w:sz w:val="18"/>
          <w:szCs w:val="18"/>
          <w:lang w:val="en-IE"/>
        </w:rPr>
        <w:t xml:space="preserve"> in 20</w:t>
      </w:r>
      <w:r w:rsidR="04D51C9C" w:rsidRPr="53B862E4">
        <w:rPr>
          <w:i/>
          <w:iCs/>
          <w:sz w:val="18"/>
          <w:szCs w:val="18"/>
          <w:lang w:val="en-IE"/>
        </w:rPr>
        <w:t>29</w:t>
      </w:r>
      <w:r w:rsidR="56729DCD" w:rsidRPr="53B862E4">
        <w:rPr>
          <w:i/>
          <w:iCs/>
          <w:sz w:val="18"/>
          <w:szCs w:val="18"/>
          <w:lang w:val="en-IE"/>
        </w:rPr>
        <w:t>,</w:t>
      </w:r>
      <w:r w:rsidR="04D51C9C" w:rsidRPr="53B862E4">
        <w:rPr>
          <w:i/>
          <w:iCs/>
          <w:sz w:val="18"/>
          <w:szCs w:val="18"/>
          <w:lang w:val="en-IE"/>
        </w:rPr>
        <w:t xml:space="preserve"> 145.74 in 2030</w:t>
      </w:r>
      <w:r w:rsidR="56729DCD" w:rsidRPr="53B862E4">
        <w:rPr>
          <w:i/>
          <w:iCs/>
          <w:sz w:val="18"/>
          <w:szCs w:val="18"/>
          <w:lang w:val="en-IE"/>
        </w:rPr>
        <w:t xml:space="preserve"> compared to 100 in 201</w:t>
      </w:r>
      <w:r w:rsidR="00580F00">
        <w:rPr>
          <w:i/>
          <w:iCs/>
          <w:sz w:val="18"/>
          <w:szCs w:val="18"/>
          <w:lang w:val="en-IE"/>
        </w:rPr>
        <w:t>5</w:t>
      </w:r>
      <w:r w:rsidR="00580F00">
        <w:rPr>
          <w:rStyle w:val="FootnoteReference"/>
          <w:i/>
          <w:iCs/>
          <w:sz w:val="18"/>
          <w:szCs w:val="18"/>
          <w:lang w:val="en-IE"/>
        </w:rPr>
        <w:footnoteReference w:id="9"/>
      </w:r>
      <w:r w:rsidR="00580F00">
        <w:rPr>
          <w:i/>
          <w:iCs/>
          <w:sz w:val="18"/>
          <w:szCs w:val="18"/>
          <w:lang w:val="en-IE"/>
        </w:rPr>
        <w:t>.</w:t>
      </w:r>
    </w:p>
    <w:p w14:paraId="5D8B47C0" w14:textId="77777777" w:rsidR="000D3806" w:rsidRDefault="000D3806" w:rsidP="004D73A4">
      <w:pPr>
        <w:rPr>
          <w:sz w:val="22"/>
          <w:szCs w:val="22"/>
          <w:lang w:val="en-IE"/>
        </w:rPr>
      </w:pPr>
    </w:p>
    <w:p w14:paraId="23486463" w14:textId="7EDF541A" w:rsidR="00106DA1" w:rsidRDefault="00106DA1" w:rsidP="00FA3A74">
      <w:pPr>
        <w:jc w:val="both"/>
        <w:rPr>
          <w:sz w:val="22"/>
          <w:szCs w:val="22"/>
        </w:rPr>
      </w:pPr>
      <w:r>
        <w:rPr>
          <w:sz w:val="22"/>
          <w:szCs w:val="22"/>
        </w:rPr>
        <w:t xml:space="preserve">For long term values beyond 2030, Member States can assume in their WAM scenarios for ETS2 sectors carbon values in line with EU climate neutrality. ETS2 carbon values can be the same as those recommended for ETS1 in the WAM scenario, </w:t>
      </w:r>
      <w:r w:rsidR="0090397A">
        <w:rPr>
          <w:sz w:val="22"/>
          <w:szCs w:val="22"/>
        </w:rPr>
        <w:t>i.e.,</w:t>
      </w:r>
      <w:r>
        <w:rPr>
          <w:sz w:val="22"/>
          <w:szCs w:val="22"/>
        </w:rPr>
        <w:t xml:space="preserve"> the strengthened ETS1 in line with the EU climate neutrality objective, or those ETS carbon values modelled in national scenarios to reflect the national objectives, in line with the national long-term strategies. The Commission may come back with updated recommendations.</w:t>
      </w:r>
    </w:p>
    <w:p w14:paraId="5AA9E0F8" w14:textId="77777777" w:rsidR="00580F00" w:rsidRDefault="00580F00" w:rsidP="004D73A4">
      <w:pPr>
        <w:rPr>
          <w:sz w:val="22"/>
          <w:szCs w:val="22"/>
          <w:lang w:val="en-IE"/>
        </w:rPr>
      </w:pPr>
    </w:p>
    <w:p w14:paraId="627AD212" w14:textId="77777777" w:rsidR="00106DA1" w:rsidRPr="004D73A4" w:rsidRDefault="00106DA1" w:rsidP="004D73A4">
      <w:pPr>
        <w:rPr>
          <w:sz w:val="22"/>
          <w:szCs w:val="22"/>
          <w:lang w:val="en-IE"/>
        </w:rPr>
      </w:pPr>
    </w:p>
    <w:p w14:paraId="434C680B" w14:textId="77777777" w:rsidR="004D73A4" w:rsidRPr="00005CF3" w:rsidRDefault="004D73A4" w:rsidP="00AC4210">
      <w:pPr>
        <w:spacing w:after="120"/>
        <w:rPr>
          <w:b/>
          <w:bCs/>
          <w:color w:val="000000"/>
          <w:sz w:val="28"/>
          <w:szCs w:val="36"/>
          <w:u w:val="single"/>
        </w:rPr>
      </w:pPr>
      <w:r w:rsidRPr="00005CF3">
        <w:rPr>
          <w:b/>
          <w:bCs/>
          <w:color w:val="000000"/>
          <w:sz w:val="28"/>
          <w:szCs w:val="36"/>
          <w:u w:val="single"/>
        </w:rPr>
        <w:t>Annex II: Population and GDP growth</w:t>
      </w:r>
    </w:p>
    <w:p w14:paraId="654038EC" w14:textId="220E31E3" w:rsidR="004D73A4" w:rsidRPr="00AC4210" w:rsidRDefault="004D73A4" w:rsidP="00FA3A74">
      <w:pPr>
        <w:jc w:val="both"/>
        <w:rPr>
          <w:sz w:val="20"/>
          <w:szCs w:val="20"/>
          <w:lang w:val="en-IE"/>
        </w:rPr>
      </w:pPr>
      <w:r w:rsidRPr="00AC4210">
        <w:rPr>
          <w:sz w:val="22"/>
          <w:szCs w:val="22"/>
          <w:lang w:val="en-IE"/>
        </w:rPr>
        <w:t>Assumptions on population and GDP growth by Member State is provided in an associated Microsoft Excel file: [GHG projection parameters 202</w:t>
      </w:r>
      <w:r w:rsidR="002E27B0">
        <w:rPr>
          <w:sz w:val="22"/>
          <w:szCs w:val="22"/>
          <w:lang w:val="en-IE"/>
        </w:rPr>
        <w:t>5</w:t>
      </w:r>
      <w:r w:rsidRPr="00AC4210">
        <w:rPr>
          <w:sz w:val="22"/>
          <w:szCs w:val="22"/>
          <w:lang w:val="en-IE"/>
        </w:rPr>
        <w:t xml:space="preserve"> Annex II 30 pop&amp;GDP.xlsx].</w:t>
      </w:r>
    </w:p>
    <w:p w14:paraId="6BD4A826" w14:textId="77777777" w:rsidR="004D73A4" w:rsidRPr="004D73A4" w:rsidRDefault="004D73A4" w:rsidP="6ACE85B9">
      <w:pPr>
        <w:jc w:val="both"/>
        <w:rPr>
          <w:b/>
          <w:bCs/>
          <w:sz w:val="22"/>
          <w:szCs w:val="22"/>
          <w:lang w:val="en-IE"/>
        </w:rPr>
      </w:pPr>
    </w:p>
    <w:p w14:paraId="17E01BB8" w14:textId="3036547D" w:rsidR="6ACE85B9" w:rsidRDefault="6ACE85B9" w:rsidP="6ACE85B9">
      <w:pPr>
        <w:jc w:val="both"/>
        <w:rPr>
          <w:b/>
          <w:bCs/>
          <w:sz w:val="22"/>
          <w:szCs w:val="22"/>
          <w:lang w:val="en-IE"/>
        </w:rPr>
      </w:pPr>
    </w:p>
    <w:p w14:paraId="0B9E638F" w14:textId="3A198C95" w:rsidR="00232571" w:rsidRPr="00005CF3" w:rsidRDefault="058003A7" w:rsidP="6ACE85B9">
      <w:pPr>
        <w:jc w:val="both"/>
        <w:rPr>
          <w:b/>
          <w:bCs/>
          <w:color w:val="000000"/>
          <w:szCs w:val="32"/>
          <w:u w:val="single"/>
        </w:rPr>
      </w:pPr>
      <w:r w:rsidRPr="00005CF3">
        <w:rPr>
          <w:b/>
          <w:bCs/>
          <w:color w:val="000000"/>
          <w:sz w:val="28"/>
          <w:szCs w:val="36"/>
          <w:u w:val="single"/>
        </w:rPr>
        <w:t xml:space="preserve">Annex III: </w:t>
      </w:r>
      <w:r w:rsidR="00232571" w:rsidRPr="00005CF3">
        <w:rPr>
          <w:b/>
          <w:bCs/>
          <w:color w:val="000000"/>
          <w:sz w:val="28"/>
          <w:szCs w:val="36"/>
          <w:u w:val="single"/>
        </w:rPr>
        <w:t xml:space="preserve">ETS </w:t>
      </w:r>
      <w:r w:rsidR="00EF4169" w:rsidRPr="00005CF3">
        <w:rPr>
          <w:b/>
          <w:bCs/>
          <w:color w:val="000000"/>
          <w:sz w:val="28"/>
          <w:szCs w:val="36"/>
          <w:u w:val="single"/>
        </w:rPr>
        <w:t>Recommended parameters to model ETS2</w:t>
      </w:r>
    </w:p>
    <w:p w14:paraId="68E41B43" w14:textId="04633788" w:rsidR="058003A7" w:rsidRDefault="058003A7" w:rsidP="6ACE85B9">
      <w:pPr>
        <w:jc w:val="both"/>
        <w:rPr>
          <w:sz w:val="22"/>
          <w:szCs w:val="22"/>
          <w:lang w:val="en-IE"/>
        </w:rPr>
      </w:pPr>
      <w:r w:rsidRPr="6ACE85B9">
        <w:rPr>
          <w:sz w:val="22"/>
          <w:szCs w:val="22"/>
        </w:rPr>
        <w:t xml:space="preserve">Letter sent to MS </w:t>
      </w:r>
      <w:r w:rsidR="00351A98">
        <w:rPr>
          <w:sz w:val="22"/>
          <w:szCs w:val="22"/>
        </w:rPr>
        <w:t xml:space="preserve">in March 2023 </w:t>
      </w:r>
      <w:r w:rsidRPr="6ACE85B9">
        <w:rPr>
          <w:sz w:val="22"/>
          <w:szCs w:val="22"/>
        </w:rPr>
        <w:t>on the r</w:t>
      </w:r>
      <w:r w:rsidRPr="00F611EB">
        <w:rPr>
          <w:sz w:val="22"/>
          <w:szCs w:val="22"/>
        </w:rPr>
        <w:t>ecommended parameters to model ETS</w:t>
      </w:r>
      <w:r w:rsidR="77050585" w:rsidRPr="6ACE85B9">
        <w:rPr>
          <w:sz w:val="22"/>
          <w:szCs w:val="22"/>
        </w:rPr>
        <w:t xml:space="preserve"> II</w:t>
      </w:r>
      <w:r w:rsidRPr="00F611EB">
        <w:rPr>
          <w:sz w:val="22"/>
          <w:szCs w:val="22"/>
        </w:rPr>
        <w:t xml:space="preserve"> in the context of the update of NECP</w:t>
      </w:r>
      <w:r w:rsidRPr="6ACE85B9">
        <w:rPr>
          <w:sz w:val="22"/>
          <w:szCs w:val="22"/>
        </w:rPr>
        <w:t xml:space="preserve"> is provided in an associated PDF</w:t>
      </w:r>
      <w:r w:rsidR="0F12C8B0" w:rsidRPr="6ACE85B9">
        <w:rPr>
          <w:sz w:val="22"/>
          <w:szCs w:val="22"/>
        </w:rPr>
        <w:t xml:space="preserve"> file: </w:t>
      </w:r>
      <w:r w:rsidR="0F12C8B0" w:rsidRPr="6ACE85B9">
        <w:rPr>
          <w:sz w:val="22"/>
          <w:szCs w:val="22"/>
          <w:lang w:val="en-IE"/>
        </w:rPr>
        <w:t>[ETS2 recommendation.pdf]</w:t>
      </w:r>
    </w:p>
    <w:sectPr w:rsidR="058003A7" w:rsidSect="001E14E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ED994" w14:textId="77777777" w:rsidR="00B432EB" w:rsidRDefault="00B432EB" w:rsidP="004D73A4">
      <w:r>
        <w:separator/>
      </w:r>
    </w:p>
  </w:endnote>
  <w:endnote w:type="continuationSeparator" w:id="0">
    <w:p w14:paraId="1A210466" w14:textId="77777777" w:rsidR="00B432EB" w:rsidRDefault="00B432EB" w:rsidP="004D73A4">
      <w:r>
        <w:continuationSeparator/>
      </w:r>
    </w:p>
  </w:endnote>
  <w:endnote w:type="continuationNotice" w:id="1">
    <w:p w14:paraId="7D4E8F29" w14:textId="77777777" w:rsidR="00B432EB" w:rsidRDefault="00B43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B3539" w14:textId="77777777" w:rsidR="00B432EB" w:rsidRDefault="00B432EB" w:rsidP="004D73A4">
      <w:r>
        <w:separator/>
      </w:r>
    </w:p>
  </w:footnote>
  <w:footnote w:type="continuationSeparator" w:id="0">
    <w:p w14:paraId="53E4D65C" w14:textId="77777777" w:rsidR="00B432EB" w:rsidRDefault="00B432EB" w:rsidP="004D73A4">
      <w:r>
        <w:continuationSeparator/>
      </w:r>
    </w:p>
  </w:footnote>
  <w:footnote w:type="continuationNotice" w:id="1">
    <w:p w14:paraId="6626B067" w14:textId="77777777" w:rsidR="00B432EB" w:rsidRDefault="00B432EB"/>
  </w:footnote>
  <w:footnote w:id="2">
    <w:p w14:paraId="6945E19A" w14:textId="77777777" w:rsidR="00705C42" w:rsidRPr="00A276B7" w:rsidRDefault="00705C42" w:rsidP="00DD3F8B">
      <w:pPr>
        <w:pStyle w:val="FootnoteText"/>
        <w:rPr>
          <w:sz w:val="18"/>
          <w:szCs w:val="18"/>
          <w:lang w:val="fr-BE"/>
        </w:rPr>
      </w:pPr>
      <w:r w:rsidRPr="00DD3F8B">
        <w:rPr>
          <w:rStyle w:val="FootnoteReference"/>
          <w:sz w:val="18"/>
          <w:szCs w:val="18"/>
        </w:rPr>
        <w:footnoteRef/>
      </w:r>
      <w:r w:rsidRPr="00A276B7">
        <w:rPr>
          <w:sz w:val="18"/>
          <w:szCs w:val="18"/>
          <w:lang w:val="fr-BE"/>
        </w:rPr>
        <w:t xml:space="preserve"> </w:t>
      </w:r>
      <w:proofErr w:type="spellStart"/>
      <w:r w:rsidRPr="00A276B7">
        <w:rPr>
          <w:sz w:val="18"/>
          <w:szCs w:val="18"/>
          <w:lang w:val="fr-BE"/>
        </w:rPr>
        <w:t>Regulation</w:t>
      </w:r>
      <w:proofErr w:type="spellEnd"/>
      <w:r w:rsidRPr="00A276B7">
        <w:rPr>
          <w:sz w:val="18"/>
          <w:szCs w:val="18"/>
          <w:lang w:val="fr-BE"/>
        </w:rPr>
        <w:t xml:space="preserve"> (EU) 2020/1208</w:t>
      </w:r>
    </w:p>
  </w:footnote>
  <w:footnote w:id="3">
    <w:p w14:paraId="38ECBD98" w14:textId="77777777" w:rsidR="00705C42" w:rsidRPr="00A276B7" w:rsidRDefault="00705C42" w:rsidP="00DD3F8B">
      <w:pPr>
        <w:pStyle w:val="FootnoteText"/>
        <w:rPr>
          <w:lang w:val="fr-BE"/>
        </w:rPr>
      </w:pPr>
      <w:r w:rsidRPr="00DD3F8B">
        <w:rPr>
          <w:rStyle w:val="FootnoteReference"/>
          <w:sz w:val="18"/>
          <w:szCs w:val="18"/>
        </w:rPr>
        <w:footnoteRef/>
      </w:r>
      <w:r w:rsidRPr="00A276B7">
        <w:rPr>
          <w:sz w:val="18"/>
          <w:szCs w:val="18"/>
          <w:lang w:val="fr-BE"/>
        </w:rPr>
        <w:t xml:space="preserve"> </w:t>
      </w:r>
      <w:proofErr w:type="spellStart"/>
      <w:r w:rsidRPr="00A276B7">
        <w:rPr>
          <w:sz w:val="18"/>
          <w:szCs w:val="18"/>
          <w:lang w:val="fr-BE"/>
        </w:rPr>
        <w:t>Regulation</w:t>
      </w:r>
      <w:proofErr w:type="spellEnd"/>
      <w:r w:rsidRPr="00A276B7">
        <w:rPr>
          <w:sz w:val="18"/>
          <w:szCs w:val="18"/>
          <w:lang w:val="fr-BE"/>
        </w:rPr>
        <w:t xml:space="preserve"> (EU) 2018/1999</w:t>
      </w:r>
    </w:p>
  </w:footnote>
  <w:footnote w:id="4">
    <w:p w14:paraId="246DCD09" w14:textId="0B0B9F3C" w:rsidR="00652FEB" w:rsidRPr="00A276B7" w:rsidRDefault="00652FEB" w:rsidP="00652FEB">
      <w:pPr>
        <w:pStyle w:val="FootnoteText"/>
        <w:rPr>
          <w:sz w:val="18"/>
          <w:szCs w:val="18"/>
          <w:lang w:val="fr-BE"/>
        </w:rPr>
      </w:pPr>
      <w:r w:rsidRPr="00765708">
        <w:rPr>
          <w:rStyle w:val="FootnoteReference"/>
          <w:sz w:val="18"/>
          <w:szCs w:val="18"/>
        </w:rPr>
        <w:footnoteRef/>
      </w:r>
      <w:r w:rsidRPr="00765708">
        <w:rPr>
          <w:sz w:val="18"/>
          <w:szCs w:val="18"/>
          <w:lang w:val="fr-BE"/>
        </w:rPr>
        <w:t xml:space="preserve"> </w:t>
      </w:r>
      <w:r w:rsidR="00852ACE">
        <w:fldChar w:fldCharType="begin"/>
      </w:r>
      <w:r w:rsidR="00852ACE" w:rsidRPr="00A53B73">
        <w:rPr>
          <w:lang w:val="fr-BE"/>
        </w:rPr>
        <w:instrText>HYPERLINK "https://joint-research-centre.ec.europa.eu/scientific-activities-z/geco/geco-2023_en"</w:instrText>
      </w:r>
      <w:r w:rsidR="00852ACE">
        <w:fldChar w:fldCharType="separate"/>
      </w:r>
      <w:r w:rsidRPr="00765708">
        <w:rPr>
          <w:rStyle w:val="Hyperlink"/>
          <w:sz w:val="18"/>
          <w:szCs w:val="18"/>
          <w:lang w:val="fr-BE"/>
        </w:rPr>
        <w:t>https://joint-research-centre.ec.europa.eu/scientific-activities-z/geco/geco-2023_en</w:t>
      </w:r>
      <w:r w:rsidR="00852ACE">
        <w:rPr>
          <w:rStyle w:val="Hyperlink"/>
          <w:sz w:val="18"/>
          <w:szCs w:val="18"/>
          <w:lang w:val="fr-BE"/>
        </w:rPr>
        <w:fldChar w:fldCharType="end"/>
      </w:r>
    </w:p>
  </w:footnote>
  <w:footnote w:id="5">
    <w:p w14:paraId="43B73C6C" w14:textId="77777777" w:rsidR="004D73A4" w:rsidRDefault="004D73A4" w:rsidP="004D73A4">
      <w:pPr>
        <w:pStyle w:val="FootnoteText"/>
        <w:rPr>
          <w:lang w:val="en-GB"/>
        </w:rPr>
      </w:pPr>
      <w:r w:rsidRPr="00DD3F8B">
        <w:rPr>
          <w:rStyle w:val="FootnoteReference"/>
          <w:sz w:val="18"/>
          <w:szCs w:val="18"/>
        </w:rPr>
        <w:footnoteRef/>
      </w:r>
      <w:r w:rsidRPr="00DD3F8B">
        <w:rPr>
          <w:sz w:val="18"/>
          <w:szCs w:val="18"/>
        </w:rPr>
        <w:t xml:space="preserve"> See the Section 8.5.3 of the “Common analytical framework” Annex of the ETS impact assessment SWD(2021) 557 final, which discusses carbon values (including the role of foresight in modelling) in the context of reaching climate neutrality at EU level.</w:t>
      </w:r>
      <w:r>
        <w:t xml:space="preserve"> </w:t>
      </w:r>
    </w:p>
  </w:footnote>
  <w:footnote w:id="6">
    <w:p w14:paraId="4B2C60CC" w14:textId="4AD7EB33" w:rsidR="3AFFED31" w:rsidRPr="00EB2EE6" w:rsidRDefault="3AFFED31" w:rsidP="00A276B7">
      <w:pPr>
        <w:pStyle w:val="FootnoteText"/>
        <w:rPr>
          <w:sz w:val="18"/>
          <w:szCs w:val="18"/>
        </w:rPr>
      </w:pPr>
      <w:r w:rsidRPr="00EB2EE6">
        <w:rPr>
          <w:sz w:val="18"/>
          <w:szCs w:val="18"/>
          <w:vertAlign w:val="superscript"/>
        </w:rPr>
        <w:footnoteRef/>
      </w:r>
      <w:r w:rsidRPr="00EB2EE6">
        <w:rPr>
          <w:sz w:val="18"/>
          <w:szCs w:val="18"/>
        </w:rPr>
        <w:t xml:space="preserve"> 2024 Ageing Report. Underlying Assumptions and Projection Methodologies. 2024 Ageing Report. Underlying Assumptions and Projection Methodologies - European Commission (europa.eu)</w:t>
      </w:r>
      <w:r w:rsidR="00A515DC" w:rsidRPr="00EB2EE6">
        <w:rPr>
          <w:sz w:val="18"/>
          <w:szCs w:val="18"/>
        </w:rPr>
        <w:t xml:space="preserve">. </w:t>
      </w:r>
      <w:hyperlink r:id="rId1" w:history="1">
        <w:r w:rsidR="00A515DC" w:rsidRPr="00EB2EE6">
          <w:rPr>
            <w:rStyle w:val="Hyperlink"/>
            <w:sz w:val="18"/>
            <w:szCs w:val="18"/>
          </w:rPr>
          <w:t>https://economy-finance.ec.europa.eu/publications/2024-ageing-report-underlying-assumptions-and-projection-methodologies_en</w:t>
        </w:r>
      </w:hyperlink>
    </w:p>
    <w:p w14:paraId="795D2D3A" w14:textId="77777777" w:rsidR="00A515DC" w:rsidRDefault="00A515DC" w:rsidP="00A276B7">
      <w:pPr>
        <w:pStyle w:val="FootnoteText"/>
      </w:pPr>
    </w:p>
  </w:footnote>
  <w:footnote w:id="7">
    <w:p w14:paraId="3BECC298" w14:textId="77777777" w:rsidR="004D73A4" w:rsidRPr="00EB2EE6" w:rsidRDefault="004D73A4" w:rsidP="004D73A4">
      <w:pPr>
        <w:pStyle w:val="FootnoteText"/>
        <w:rPr>
          <w:sz w:val="18"/>
          <w:szCs w:val="18"/>
          <w:lang w:eastAsia="en-US"/>
        </w:rPr>
      </w:pPr>
      <w:r w:rsidRPr="00EB2EE6">
        <w:rPr>
          <w:rStyle w:val="FootnoteReference"/>
          <w:sz w:val="18"/>
          <w:szCs w:val="18"/>
        </w:rPr>
        <w:footnoteRef/>
      </w:r>
      <w:r w:rsidRPr="00EB2EE6">
        <w:rPr>
          <w:sz w:val="18"/>
          <w:szCs w:val="18"/>
        </w:rPr>
        <w:t xml:space="preserve"> See “SWD(2021) 557 final”, section 8.5.3</w:t>
      </w:r>
    </w:p>
  </w:footnote>
  <w:footnote w:id="8">
    <w:p w14:paraId="53C2FAA4" w14:textId="1C1DAFE5" w:rsidR="00CA065F" w:rsidRPr="00EB2EE6" w:rsidRDefault="00CA065F" w:rsidP="00CA065F">
      <w:pPr>
        <w:pStyle w:val="FootnoteText"/>
        <w:rPr>
          <w:sz w:val="18"/>
          <w:szCs w:val="18"/>
        </w:rPr>
      </w:pPr>
      <w:r w:rsidRPr="00EB2EE6">
        <w:rPr>
          <w:rStyle w:val="FootnoteReference"/>
          <w:sz w:val="18"/>
          <w:szCs w:val="18"/>
        </w:rPr>
        <w:footnoteRef/>
      </w:r>
      <w:r w:rsidRPr="00EB2EE6">
        <w:rPr>
          <w:sz w:val="18"/>
          <w:szCs w:val="18"/>
        </w:rPr>
        <w:t xml:space="preserve"> Combining ESTAT HICP index for data until 202</w:t>
      </w:r>
      <w:r w:rsidR="00AD6589" w:rsidRPr="00EB2EE6">
        <w:rPr>
          <w:sz w:val="18"/>
          <w:szCs w:val="18"/>
        </w:rPr>
        <w:t>3</w:t>
      </w:r>
      <w:r w:rsidRPr="00EB2EE6">
        <w:rPr>
          <w:sz w:val="18"/>
          <w:szCs w:val="18"/>
        </w:rPr>
        <w:t xml:space="preserve"> (data extracted in </w:t>
      </w:r>
      <w:r w:rsidR="00AD6589" w:rsidRPr="00EB2EE6">
        <w:rPr>
          <w:sz w:val="18"/>
          <w:szCs w:val="18"/>
        </w:rPr>
        <w:t xml:space="preserve">February </w:t>
      </w:r>
      <w:r w:rsidRPr="00EB2EE6">
        <w:rPr>
          <w:sz w:val="18"/>
          <w:szCs w:val="18"/>
        </w:rPr>
        <w:t>202</w:t>
      </w:r>
      <w:r w:rsidR="00AD6589" w:rsidRPr="00EB2EE6">
        <w:rPr>
          <w:sz w:val="18"/>
          <w:szCs w:val="18"/>
        </w:rPr>
        <w:t>4</w:t>
      </w:r>
      <w:r w:rsidRPr="00EB2EE6">
        <w:rPr>
          <w:sz w:val="18"/>
          <w:szCs w:val="18"/>
        </w:rPr>
        <w:t>) and ECB HICP Survey of Professional Forecasters (Q1 202</w:t>
      </w:r>
      <w:r w:rsidR="00AD6589" w:rsidRPr="00EB2EE6">
        <w:rPr>
          <w:sz w:val="18"/>
          <w:szCs w:val="18"/>
        </w:rPr>
        <w:t>4</w:t>
      </w:r>
      <w:r w:rsidRPr="00EB2EE6">
        <w:rPr>
          <w:sz w:val="18"/>
          <w:szCs w:val="18"/>
        </w:rPr>
        <w:t>) for data in 202</w:t>
      </w:r>
      <w:r w:rsidR="00AD6589" w:rsidRPr="00EB2EE6">
        <w:rPr>
          <w:sz w:val="18"/>
          <w:szCs w:val="18"/>
        </w:rPr>
        <w:t>4</w:t>
      </w:r>
      <w:r w:rsidRPr="00EB2EE6">
        <w:rPr>
          <w:sz w:val="18"/>
          <w:szCs w:val="18"/>
        </w:rPr>
        <w:t>-</w:t>
      </w:r>
      <w:r w:rsidR="00BD0767" w:rsidRPr="00EB2EE6">
        <w:rPr>
          <w:sz w:val="18"/>
          <w:szCs w:val="18"/>
        </w:rPr>
        <w:t>2028</w:t>
      </w:r>
      <w:r w:rsidRPr="00EB2EE6">
        <w:rPr>
          <w:sz w:val="18"/>
          <w:szCs w:val="18"/>
        </w:rPr>
        <w:t>:</w:t>
      </w:r>
    </w:p>
    <w:p w14:paraId="7E901019" w14:textId="3A495270" w:rsidR="00EB2EE6" w:rsidRDefault="00A53B73" w:rsidP="00EB2EE6">
      <w:pPr>
        <w:pStyle w:val="FootnoteText"/>
      </w:pPr>
      <w:hyperlink r:id="rId2" w:history="1">
        <w:r w:rsidR="00EB2EE6" w:rsidRPr="00EB2EE6">
          <w:rPr>
            <w:rStyle w:val="Hyperlink"/>
            <w:sz w:val="18"/>
            <w:szCs w:val="18"/>
          </w:rPr>
          <w:t>https://www.ecb.europa.eu/stats/ecb_surveys/survey_of_professional_forecasters/html/ecb.spf2022q1~082bc1deaa.en.html</w:t>
        </w:r>
      </w:hyperlink>
    </w:p>
  </w:footnote>
  <w:footnote w:id="9">
    <w:p w14:paraId="4DCC9A83" w14:textId="77777777" w:rsidR="00580F00" w:rsidRPr="00EB2EE6" w:rsidRDefault="00580F00" w:rsidP="00580F00">
      <w:pPr>
        <w:pStyle w:val="FootnoteText"/>
        <w:rPr>
          <w:sz w:val="18"/>
          <w:szCs w:val="18"/>
        </w:rPr>
      </w:pPr>
      <w:r>
        <w:rPr>
          <w:rStyle w:val="FootnoteReference"/>
        </w:rPr>
        <w:footnoteRef/>
      </w:r>
      <w:r>
        <w:t xml:space="preserve"> </w:t>
      </w:r>
      <w:r w:rsidRPr="00EB2EE6">
        <w:rPr>
          <w:sz w:val="18"/>
          <w:szCs w:val="18"/>
        </w:rPr>
        <w:t>ECB HICP Survey of Professional Forecasters (Q1 2024) for data in 2024-2028:</w:t>
      </w:r>
    </w:p>
    <w:p w14:paraId="06399DD7" w14:textId="4188151C" w:rsidR="00580F00" w:rsidRDefault="00A53B73" w:rsidP="00580F00">
      <w:pPr>
        <w:pStyle w:val="FootnoteText"/>
      </w:pPr>
      <w:hyperlink r:id="rId3" w:history="1">
        <w:r w:rsidR="00580F00" w:rsidRPr="00EB2EE6">
          <w:rPr>
            <w:rStyle w:val="Hyperlink"/>
            <w:sz w:val="18"/>
            <w:szCs w:val="18"/>
          </w:rPr>
          <w:t>https://www.ecb.europa.eu/stats/ecb_surveys/survey_of_professional_forecasters/html/ecb.spf2022q1~082bc1deaa.en.html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77A9306"/>
    <w:lvl w:ilvl="0">
      <w:numFmt w:val="bullet"/>
      <w:lvlText w:val="*"/>
      <w:lvlJc w:val="left"/>
    </w:lvl>
  </w:abstractNum>
  <w:abstractNum w:abstractNumId="1" w15:restartNumberingAfterBreak="0">
    <w:nsid w:val="05E96834"/>
    <w:multiLevelType w:val="hybridMultilevel"/>
    <w:tmpl w:val="BD1C7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0A4813"/>
    <w:multiLevelType w:val="hybridMultilevel"/>
    <w:tmpl w:val="D2081D82"/>
    <w:lvl w:ilvl="0" w:tplc="907EAF10">
      <w:start w:val="14"/>
      <w:numFmt w:val="bullet"/>
      <w:lvlText w:val="-"/>
      <w:lvlJc w:val="left"/>
      <w:pPr>
        <w:ind w:left="1080" w:hanging="72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62071C"/>
    <w:multiLevelType w:val="hybridMultilevel"/>
    <w:tmpl w:val="CD306A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5BF7652"/>
    <w:multiLevelType w:val="hybridMultilevel"/>
    <w:tmpl w:val="AD46FE0C"/>
    <w:lvl w:ilvl="0" w:tplc="1FBCE89E">
      <w:start w:val="1"/>
      <w:numFmt w:val="bullet"/>
      <w:lvlText w:val="-"/>
      <w:lvlJc w:val="left"/>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6AC6743"/>
    <w:multiLevelType w:val="hybridMultilevel"/>
    <w:tmpl w:val="6FFC8AF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072EBE"/>
    <w:multiLevelType w:val="hybridMultilevel"/>
    <w:tmpl w:val="C6A422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708294D"/>
    <w:multiLevelType w:val="hybridMultilevel"/>
    <w:tmpl w:val="5A26B80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15:restartNumberingAfterBreak="0">
    <w:nsid w:val="280E487C"/>
    <w:multiLevelType w:val="hybridMultilevel"/>
    <w:tmpl w:val="15F60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B5E65E8"/>
    <w:multiLevelType w:val="hybridMultilevel"/>
    <w:tmpl w:val="9B769370"/>
    <w:lvl w:ilvl="0" w:tplc="AA285192">
      <w:start w:val="14"/>
      <w:numFmt w:val="bullet"/>
      <w:lvlText w:val=""/>
      <w:lvlJc w:val="left"/>
      <w:pPr>
        <w:ind w:left="1080" w:hanging="72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21241A"/>
    <w:multiLevelType w:val="hybridMultilevel"/>
    <w:tmpl w:val="7ECCD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5F2886"/>
    <w:multiLevelType w:val="hybridMultilevel"/>
    <w:tmpl w:val="89E8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245586"/>
    <w:multiLevelType w:val="hybridMultilevel"/>
    <w:tmpl w:val="9648D77E"/>
    <w:lvl w:ilvl="0" w:tplc="5EC65E84">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5EC65E84">
      <w:numFmt w:val="bullet"/>
      <w:lvlText w:val="-"/>
      <w:lvlJc w:val="left"/>
      <w:pPr>
        <w:ind w:left="2160" w:hanging="360"/>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E7214"/>
    <w:multiLevelType w:val="hybridMultilevel"/>
    <w:tmpl w:val="BAB89848"/>
    <w:lvl w:ilvl="0" w:tplc="AA285192">
      <w:start w:val="14"/>
      <w:numFmt w:val="bullet"/>
      <w:lvlText w:val=""/>
      <w:lvlJc w:val="left"/>
      <w:pPr>
        <w:ind w:left="1080" w:hanging="72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897893"/>
    <w:multiLevelType w:val="hybridMultilevel"/>
    <w:tmpl w:val="C694CC3E"/>
    <w:lvl w:ilvl="0" w:tplc="1FBCE89E">
      <w:start w:val="1"/>
      <w:numFmt w:val="bullet"/>
      <w:lvlText w:val="-"/>
      <w:lvlJc w:val="left"/>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6B525B4"/>
    <w:multiLevelType w:val="hybridMultilevel"/>
    <w:tmpl w:val="8AA427A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5A4832CA"/>
    <w:multiLevelType w:val="hybridMultilevel"/>
    <w:tmpl w:val="2F982DE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5BC55211"/>
    <w:multiLevelType w:val="hybridMultilevel"/>
    <w:tmpl w:val="EED88C1C"/>
    <w:lvl w:ilvl="0" w:tplc="5EC65E8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262488"/>
    <w:multiLevelType w:val="hybridMultilevel"/>
    <w:tmpl w:val="FDDA4E5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67D34F68"/>
    <w:multiLevelType w:val="hybridMultilevel"/>
    <w:tmpl w:val="2D56AB7C"/>
    <w:lvl w:ilvl="0" w:tplc="907EAF10">
      <w:start w:val="14"/>
      <w:numFmt w:val="bullet"/>
      <w:lvlText w:val="-"/>
      <w:lvlJc w:val="left"/>
      <w:pPr>
        <w:ind w:left="1080" w:hanging="72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9A5F62"/>
    <w:multiLevelType w:val="hybridMultilevel"/>
    <w:tmpl w:val="FADC7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B534F3"/>
    <w:multiLevelType w:val="hybridMultilevel"/>
    <w:tmpl w:val="3EBAD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6D78E8"/>
    <w:multiLevelType w:val="hybridMultilevel"/>
    <w:tmpl w:val="594E9CFA"/>
    <w:lvl w:ilvl="0" w:tplc="08090001">
      <w:start w:val="1"/>
      <w:numFmt w:val="bullet"/>
      <w:lvlText w:val=""/>
      <w:lvlJc w:val="left"/>
      <w:pPr>
        <w:ind w:left="1080" w:hanging="72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3F02B8"/>
    <w:multiLevelType w:val="hybridMultilevel"/>
    <w:tmpl w:val="705842F6"/>
    <w:lvl w:ilvl="0" w:tplc="18090001">
      <w:start w:val="1"/>
      <w:numFmt w:val="bullet"/>
      <w:lvlText w:val=""/>
      <w:lvlJc w:val="left"/>
      <w:pPr>
        <w:ind w:left="1080" w:hanging="720"/>
      </w:pPr>
      <w:rPr>
        <w:rFonts w:ascii="Symbol" w:hAnsi="Symbol"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4" w15:restartNumberingAfterBreak="0">
    <w:nsid w:val="77D276DB"/>
    <w:multiLevelType w:val="hybridMultilevel"/>
    <w:tmpl w:val="22627D9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BBA6955"/>
    <w:multiLevelType w:val="hybridMultilevel"/>
    <w:tmpl w:val="82BAA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5284945">
    <w:abstractNumId w:val="5"/>
  </w:num>
  <w:num w:numId="2" w16cid:durableId="920918244">
    <w:abstractNumId w:val="17"/>
  </w:num>
  <w:num w:numId="3" w16cid:durableId="1962026708">
    <w:abstractNumId w:val="12"/>
  </w:num>
  <w:num w:numId="4" w16cid:durableId="190537043">
    <w:abstractNumId w:val="0"/>
    <w:lvlOverride w:ilvl="0">
      <w:lvl w:ilvl="0">
        <w:numFmt w:val="bullet"/>
        <w:lvlText w:val=""/>
        <w:legacy w:legacy="1" w:legacySpace="0" w:legacyIndent="0"/>
        <w:lvlJc w:val="left"/>
        <w:rPr>
          <w:rFonts w:ascii="Symbol" w:hAnsi="Symbol" w:hint="default"/>
        </w:rPr>
      </w:lvl>
    </w:lvlOverride>
  </w:num>
  <w:num w:numId="5" w16cid:durableId="2079355896">
    <w:abstractNumId w:val="25"/>
  </w:num>
  <w:num w:numId="6" w16cid:durableId="878589221">
    <w:abstractNumId w:val="13"/>
  </w:num>
  <w:num w:numId="7" w16cid:durableId="753631039">
    <w:abstractNumId w:val="9"/>
  </w:num>
  <w:num w:numId="8" w16cid:durableId="1141993594">
    <w:abstractNumId w:val="2"/>
  </w:num>
  <w:num w:numId="9" w16cid:durableId="409086179">
    <w:abstractNumId w:val="19"/>
  </w:num>
  <w:num w:numId="10" w16cid:durableId="1125781212">
    <w:abstractNumId w:val="22"/>
  </w:num>
  <w:num w:numId="11" w16cid:durableId="623922507">
    <w:abstractNumId w:val="21"/>
  </w:num>
  <w:num w:numId="12" w16cid:durableId="1298030855">
    <w:abstractNumId w:val="20"/>
  </w:num>
  <w:num w:numId="13" w16cid:durableId="1466462193">
    <w:abstractNumId w:val="10"/>
  </w:num>
  <w:num w:numId="14" w16cid:durableId="1640957539">
    <w:abstractNumId w:val="1"/>
  </w:num>
  <w:num w:numId="15" w16cid:durableId="77600873">
    <w:abstractNumId w:val="11"/>
  </w:num>
  <w:num w:numId="16" w16cid:durableId="1343244109">
    <w:abstractNumId w:val="4"/>
  </w:num>
  <w:num w:numId="17" w16cid:durableId="1159928460">
    <w:abstractNumId w:val="23"/>
  </w:num>
  <w:num w:numId="18" w16cid:durableId="152110266">
    <w:abstractNumId w:val="11"/>
  </w:num>
  <w:num w:numId="19" w16cid:durableId="25983759">
    <w:abstractNumId w:val="14"/>
  </w:num>
  <w:num w:numId="20" w16cid:durableId="1959529319">
    <w:abstractNumId w:val="23"/>
  </w:num>
  <w:num w:numId="21" w16cid:durableId="2124616645">
    <w:abstractNumId w:val="3"/>
  </w:num>
  <w:num w:numId="22" w16cid:durableId="500858370">
    <w:abstractNumId w:val="24"/>
  </w:num>
  <w:num w:numId="23" w16cid:durableId="1038624815">
    <w:abstractNumId w:val="7"/>
  </w:num>
  <w:num w:numId="24" w16cid:durableId="1908681710">
    <w:abstractNumId w:val="15"/>
  </w:num>
  <w:num w:numId="25" w16cid:durableId="362484278">
    <w:abstractNumId w:val="18"/>
  </w:num>
  <w:num w:numId="26" w16cid:durableId="1563101247">
    <w:abstractNumId w:val="16"/>
  </w:num>
  <w:num w:numId="27" w16cid:durableId="356581823">
    <w:abstractNumId w:val="6"/>
  </w:num>
  <w:num w:numId="28" w16cid:durableId="7186709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3F63"/>
    <w:rsid w:val="00000374"/>
    <w:rsid w:val="00000B30"/>
    <w:rsid w:val="00001479"/>
    <w:rsid w:val="000016D6"/>
    <w:rsid w:val="00003A3C"/>
    <w:rsid w:val="00003ADC"/>
    <w:rsid w:val="000058FF"/>
    <w:rsid w:val="00005995"/>
    <w:rsid w:val="00005C5A"/>
    <w:rsid w:val="00005CF3"/>
    <w:rsid w:val="00005F45"/>
    <w:rsid w:val="00006208"/>
    <w:rsid w:val="0000623D"/>
    <w:rsid w:val="00006D74"/>
    <w:rsid w:val="00011083"/>
    <w:rsid w:val="00011672"/>
    <w:rsid w:val="0001312F"/>
    <w:rsid w:val="00014846"/>
    <w:rsid w:val="00015356"/>
    <w:rsid w:val="000161A5"/>
    <w:rsid w:val="0001661F"/>
    <w:rsid w:val="00016F6F"/>
    <w:rsid w:val="00017314"/>
    <w:rsid w:val="0002016E"/>
    <w:rsid w:val="000209CA"/>
    <w:rsid w:val="00020C6A"/>
    <w:rsid w:val="00020E11"/>
    <w:rsid w:val="00021C6A"/>
    <w:rsid w:val="00024110"/>
    <w:rsid w:val="00025ACB"/>
    <w:rsid w:val="00026CF2"/>
    <w:rsid w:val="0003441E"/>
    <w:rsid w:val="00034D6B"/>
    <w:rsid w:val="00035763"/>
    <w:rsid w:val="0003585C"/>
    <w:rsid w:val="0003650C"/>
    <w:rsid w:val="00036E82"/>
    <w:rsid w:val="000438E8"/>
    <w:rsid w:val="0004399A"/>
    <w:rsid w:val="000441F4"/>
    <w:rsid w:val="00044524"/>
    <w:rsid w:val="000452A3"/>
    <w:rsid w:val="000457B1"/>
    <w:rsid w:val="00047B31"/>
    <w:rsid w:val="00050131"/>
    <w:rsid w:val="00051053"/>
    <w:rsid w:val="000549AE"/>
    <w:rsid w:val="00057B8E"/>
    <w:rsid w:val="00061784"/>
    <w:rsid w:val="00061B03"/>
    <w:rsid w:val="00061C4B"/>
    <w:rsid w:val="00062193"/>
    <w:rsid w:val="000629EB"/>
    <w:rsid w:val="00063773"/>
    <w:rsid w:val="000639D6"/>
    <w:rsid w:val="000648B7"/>
    <w:rsid w:val="00064B55"/>
    <w:rsid w:val="00064D5C"/>
    <w:rsid w:val="00065AA7"/>
    <w:rsid w:val="00066E29"/>
    <w:rsid w:val="000676D0"/>
    <w:rsid w:val="000704F8"/>
    <w:rsid w:val="000734EC"/>
    <w:rsid w:val="00075519"/>
    <w:rsid w:val="00075D04"/>
    <w:rsid w:val="00080919"/>
    <w:rsid w:val="00082DCA"/>
    <w:rsid w:val="00087A7C"/>
    <w:rsid w:val="00087E7C"/>
    <w:rsid w:val="0009158B"/>
    <w:rsid w:val="0009159B"/>
    <w:rsid w:val="00094698"/>
    <w:rsid w:val="000951F6"/>
    <w:rsid w:val="000953ED"/>
    <w:rsid w:val="00096458"/>
    <w:rsid w:val="000A0DCD"/>
    <w:rsid w:val="000A1550"/>
    <w:rsid w:val="000A1807"/>
    <w:rsid w:val="000A339E"/>
    <w:rsid w:val="000A3AB1"/>
    <w:rsid w:val="000A5A25"/>
    <w:rsid w:val="000A6A5D"/>
    <w:rsid w:val="000A7508"/>
    <w:rsid w:val="000A798D"/>
    <w:rsid w:val="000B036C"/>
    <w:rsid w:val="000B13BE"/>
    <w:rsid w:val="000B437D"/>
    <w:rsid w:val="000B4983"/>
    <w:rsid w:val="000B5CCF"/>
    <w:rsid w:val="000B7255"/>
    <w:rsid w:val="000C2A92"/>
    <w:rsid w:val="000C3A5D"/>
    <w:rsid w:val="000C5006"/>
    <w:rsid w:val="000C5DB7"/>
    <w:rsid w:val="000C64EE"/>
    <w:rsid w:val="000D0908"/>
    <w:rsid w:val="000D254B"/>
    <w:rsid w:val="000D32B9"/>
    <w:rsid w:val="000D3806"/>
    <w:rsid w:val="000D48B4"/>
    <w:rsid w:val="000D4FBC"/>
    <w:rsid w:val="000D51F8"/>
    <w:rsid w:val="000D5544"/>
    <w:rsid w:val="000D6632"/>
    <w:rsid w:val="000D7E78"/>
    <w:rsid w:val="000E2936"/>
    <w:rsid w:val="000E3202"/>
    <w:rsid w:val="000E59BA"/>
    <w:rsid w:val="000E6246"/>
    <w:rsid w:val="000E63CA"/>
    <w:rsid w:val="000E7B3E"/>
    <w:rsid w:val="000F0449"/>
    <w:rsid w:val="000F6B4A"/>
    <w:rsid w:val="000F6FD3"/>
    <w:rsid w:val="0010041E"/>
    <w:rsid w:val="00100EDE"/>
    <w:rsid w:val="001010FB"/>
    <w:rsid w:val="001017A4"/>
    <w:rsid w:val="001020CA"/>
    <w:rsid w:val="00102D2F"/>
    <w:rsid w:val="00103435"/>
    <w:rsid w:val="00105547"/>
    <w:rsid w:val="00106DA1"/>
    <w:rsid w:val="00111547"/>
    <w:rsid w:val="00112085"/>
    <w:rsid w:val="00112436"/>
    <w:rsid w:val="001128C3"/>
    <w:rsid w:val="00112AB9"/>
    <w:rsid w:val="00113139"/>
    <w:rsid w:val="00114B0D"/>
    <w:rsid w:val="00116E87"/>
    <w:rsid w:val="00117A7A"/>
    <w:rsid w:val="00121055"/>
    <w:rsid w:val="00123023"/>
    <w:rsid w:val="00123E89"/>
    <w:rsid w:val="001263EE"/>
    <w:rsid w:val="001270BE"/>
    <w:rsid w:val="00131206"/>
    <w:rsid w:val="00131DB2"/>
    <w:rsid w:val="00132499"/>
    <w:rsid w:val="0013366B"/>
    <w:rsid w:val="00135376"/>
    <w:rsid w:val="001353E2"/>
    <w:rsid w:val="0013558F"/>
    <w:rsid w:val="00138A92"/>
    <w:rsid w:val="001427A2"/>
    <w:rsid w:val="00146E85"/>
    <w:rsid w:val="00150AE1"/>
    <w:rsid w:val="00152E80"/>
    <w:rsid w:val="00154CBF"/>
    <w:rsid w:val="00155D1A"/>
    <w:rsid w:val="00156410"/>
    <w:rsid w:val="001567D1"/>
    <w:rsid w:val="001603C3"/>
    <w:rsid w:val="00161165"/>
    <w:rsid w:val="001630E3"/>
    <w:rsid w:val="00164050"/>
    <w:rsid w:val="00170B65"/>
    <w:rsid w:val="00170E6C"/>
    <w:rsid w:val="00171210"/>
    <w:rsid w:val="001740D2"/>
    <w:rsid w:val="0017494A"/>
    <w:rsid w:val="001760BD"/>
    <w:rsid w:val="00181BC4"/>
    <w:rsid w:val="00182BC9"/>
    <w:rsid w:val="00184575"/>
    <w:rsid w:val="00186EB1"/>
    <w:rsid w:val="0018748C"/>
    <w:rsid w:val="001874CF"/>
    <w:rsid w:val="001905C2"/>
    <w:rsid w:val="00190B04"/>
    <w:rsid w:val="00191B58"/>
    <w:rsid w:val="0019563B"/>
    <w:rsid w:val="00195D6B"/>
    <w:rsid w:val="001960EA"/>
    <w:rsid w:val="001A2547"/>
    <w:rsid w:val="001A26D0"/>
    <w:rsid w:val="001A3219"/>
    <w:rsid w:val="001A33AC"/>
    <w:rsid w:val="001A4222"/>
    <w:rsid w:val="001A5716"/>
    <w:rsid w:val="001A6DF1"/>
    <w:rsid w:val="001A6EE4"/>
    <w:rsid w:val="001B04CA"/>
    <w:rsid w:val="001B0A1C"/>
    <w:rsid w:val="001B0BDA"/>
    <w:rsid w:val="001B0F50"/>
    <w:rsid w:val="001B46EE"/>
    <w:rsid w:val="001B4883"/>
    <w:rsid w:val="001B4C79"/>
    <w:rsid w:val="001B4E0A"/>
    <w:rsid w:val="001B5682"/>
    <w:rsid w:val="001C1355"/>
    <w:rsid w:val="001C2202"/>
    <w:rsid w:val="001C3CE0"/>
    <w:rsid w:val="001C4DF1"/>
    <w:rsid w:val="001C548E"/>
    <w:rsid w:val="001C592C"/>
    <w:rsid w:val="001C63EF"/>
    <w:rsid w:val="001C79FC"/>
    <w:rsid w:val="001D1062"/>
    <w:rsid w:val="001D148E"/>
    <w:rsid w:val="001D42E0"/>
    <w:rsid w:val="001D6D93"/>
    <w:rsid w:val="001D7960"/>
    <w:rsid w:val="001E14E1"/>
    <w:rsid w:val="001E15F3"/>
    <w:rsid w:val="001E4F73"/>
    <w:rsid w:val="001E5EDB"/>
    <w:rsid w:val="001E6BE7"/>
    <w:rsid w:val="001E7BC4"/>
    <w:rsid w:val="001F1B2F"/>
    <w:rsid w:val="001F25E3"/>
    <w:rsid w:val="001F70DD"/>
    <w:rsid w:val="001F7C38"/>
    <w:rsid w:val="00200C3D"/>
    <w:rsid w:val="002062B1"/>
    <w:rsid w:val="00206CC1"/>
    <w:rsid w:val="0021139E"/>
    <w:rsid w:val="00212035"/>
    <w:rsid w:val="00212293"/>
    <w:rsid w:val="0021273D"/>
    <w:rsid w:val="002128AC"/>
    <w:rsid w:val="00215DFB"/>
    <w:rsid w:val="00216E76"/>
    <w:rsid w:val="00221876"/>
    <w:rsid w:val="00222622"/>
    <w:rsid w:val="002227B1"/>
    <w:rsid w:val="002227F6"/>
    <w:rsid w:val="00223399"/>
    <w:rsid w:val="00223D0B"/>
    <w:rsid w:val="00224A19"/>
    <w:rsid w:val="0022637E"/>
    <w:rsid w:val="00227060"/>
    <w:rsid w:val="00227324"/>
    <w:rsid w:val="002305EC"/>
    <w:rsid w:val="002313E2"/>
    <w:rsid w:val="0023189E"/>
    <w:rsid w:val="00232571"/>
    <w:rsid w:val="002329C9"/>
    <w:rsid w:val="00232EDB"/>
    <w:rsid w:val="0023547B"/>
    <w:rsid w:val="002361A6"/>
    <w:rsid w:val="00236A9B"/>
    <w:rsid w:val="002370C2"/>
    <w:rsid w:val="0023759C"/>
    <w:rsid w:val="002415FE"/>
    <w:rsid w:val="00243732"/>
    <w:rsid w:val="002437CC"/>
    <w:rsid w:val="0024386E"/>
    <w:rsid w:val="00243B1E"/>
    <w:rsid w:val="00246197"/>
    <w:rsid w:val="00247B68"/>
    <w:rsid w:val="002510C7"/>
    <w:rsid w:val="00253630"/>
    <w:rsid w:val="00257ADF"/>
    <w:rsid w:val="00260C1F"/>
    <w:rsid w:val="0026130F"/>
    <w:rsid w:val="002619A7"/>
    <w:rsid w:val="00262EB0"/>
    <w:rsid w:val="002650C1"/>
    <w:rsid w:val="002710DA"/>
    <w:rsid w:val="002733AB"/>
    <w:rsid w:val="00275F39"/>
    <w:rsid w:val="00280845"/>
    <w:rsid w:val="00281CF1"/>
    <w:rsid w:val="00281D8E"/>
    <w:rsid w:val="00281DCC"/>
    <w:rsid w:val="00285F37"/>
    <w:rsid w:val="00286289"/>
    <w:rsid w:val="00286EB1"/>
    <w:rsid w:val="00287085"/>
    <w:rsid w:val="00287D52"/>
    <w:rsid w:val="00290B50"/>
    <w:rsid w:val="00291026"/>
    <w:rsid w:val="00291186"/>
    <w:rsid w:val="00291373"/>
    <w:rsid w:val="002915D2"/>
    <w:rsid w:val="002A0DFD"/>
    <w:rsid w:val="002A0F1A"/>
    <w:rsid w:val="002A1F6B"/>
    <w:rsid w:val="002A230A"/>
    <w:rsid w:val="002A300B"/>
    <w:rsid w:val="002A3C55"/>
    <w:rsid w:val="002A569C"/>
    <w:rsid w:val="002A6617"/>
    <w:rsid w:val="002A67FF"/>
    <w:rsid w:val="002A7FE3"/>
    <w:rsid w:val="002B0102"/>
    <w:rsid w:val="002B09D5"/>
    <w:rsid w:val="002B3C65"/>
    <w:rsid w:val="002B63C6"/>
    <w:rsid w:val="002B651E"/>
    <w:rsid w:val="002B6A9D"/>
    <w:rsid w:val="002C02B3"/>
    <w:rsid w:val="002C1953"/>
    <w:rsid w:val="002C3F0F"/>
    <w:rsid w:val="002C4298"/>
    <w:rsid w:val="002C56D5"/>
    <w:rsid w:val="002C644C"/>
    <w:rsid w:val="002C7131"/>
    <w:rsid w:val="002D0F46"/>
    <w:rsid w:val="002D149F"/>
    <w:rsid w:val="002D1645"/>
    <w:rsid w:val="002D4595"/>
    <w:rsid w:val="002D53A1"/>
    <w:rsid w:val="002D5612"/>
    <w:rsid w:val="002D71E3"/>
    <w:rsid w:val="002E27B0"/>
    <w:rsid w:val="002E2DA2"/>
    <w:rsid w:val="002E56FE"/>
    <w:rsid w:val="002E5E5D"/>
    <w:rsid w:val="002E7012"/>
    <w:rsid w:val="002E762E"/>
    <w:rsid w:val="002F5304"/>
    <w:rsid w:val="002F67A9"/>
    <w:rsid w:val="002F6979"/>
    <w:rsid w:val="002F7BAD"/>
    <w:rsid w:val="003005B4"/>
    <w:rsid w:val="0030266E"/>
    <w:rsid w:val="00304064"/>
    <w:rsid w:val="00304173"/>
    <w:rsid w:val="00305335"/>
    <w:rsid w:val="00306732"/>
    <w:rsid w:val="003072F2"/>
    <w:rsid w:val="00307749"/>
    <w:rsid w:val="00310203"/>
    <w:rsid w:val="0031053A"/>
    <w:rsid w:val="00312F34"/>
    <w:rsid w:val="00313AC9"/>
    <w:rsid w:val="003166C5"/>
    <w:rsid w:val="0032235B"/>
    <w:rsid w:val="003248E2"/>
    <w:rsid w:val="00324BC0"/>
    <w:rsid w:val="00326AE8"/>
    <w:rsid w:val="00326EBB"/>
    <w:rsid w:val="00327736"/>
    <w:rsid w:val="00331B85"/>
    <w:rsid w:val="0033213A"/>
    <w:rsid w:val="003328CE"/>
    <w:rsid w:val="00333613"/>
    <w:rsid w:val="003346C6"/>
    <w:rsid w:val="00334AAA"/>
    <w:rsid w:val="0033630F"/>
    <w:rsid w:val="00336571"/>
    <w:rsid w:val="00340131"/>
    <w:rsid w:val="00341338"/>
    <w:rsid w:val="00343996"/>
    <w:rsid w:val="003439EA"/>
    <w:rsid w:val="00351508"/>
    <w:rsid w:val="00351A6C"/>
    <w:rsid w:val="00351A98"/>
    <w:rsid w:val="00354940"/>
    <w:rsid w:val="00355A19"/>
    <w:rsid w:val="00356AEE"/>
    <w:rsid w:val="00356FA4"/>
    <w:rsid w:val="00362A3E"/>
    <w:rsid w:val="003643D6"/>
    <w:rsid w:val="003653B3"/>
    <w:rsid w:val="0036548B"/>
    <w:rsid w:val="00366739"/>
    <w:rsid w:val="00366B25"/>
    <w:rsid w:val="00367512"/>
    <w:rsid w:val="00371E98"/>
    <w:rsid w:val="0037208C"/>
    <w:rsid w:val="00376273"/>
    <w:rsid w:val="00376D3B"/>
    <w:rsid w:val="0038027F"/>
    <w:rsid w:val="0038259D"/>
    <w:rsid w:val="0038275A"/>
    <w:rsid w:val="003837D9"/>
    <w:rsid w:val="003842AF"/>
    <w:rsid w:val="00385C27"/>
    <w:rsid w:val="00390EE6"/>
    <w:rsid w:val="00392B9D"/>
    <w:rsid w:val="00392C02"/>
    <w:rsid w:val="003A0F3A"/>
    <w:rsid w:val="003A33CA"/>
    <w:rsid w:val="003A47BF"/>
    <w:rsid w:val="003A4DCB"/>
    <w:rsid w:val="003A5983"/>
    <w:rsid w:val="003A7B60"/>
    <w:rsid w:val="003A7C03"/>
    <w:rsid w:val="003B4BFC"/>
    <w:rsid w:val="003B5C3F"/>
    <w:rsid w:val="003B6931"/>
    <w:rsid w:val="003B729E"/>
    <w:rsid w:val="003B7A9A"/>
    <w:rsid w:val="003C2BE5"/>
    <w:rsid w:val="003C43F3"/>
    <w:rsid w:val="003C5153"/>
    <w:rsid w:val="003C5C1C"/>
    <w:rsid w:val="003C5F77"/>
    <w:rsid w:val="003C5FF5"/>
    <w:rsid w:val="003C5FFC"/>
    <w:rsid w:val="003C614F"/>
    <w:rsid w:val="003C7149"/>
    <w:rsid w:val="003D0FA9"/>
    <w:rsid w:val="003D1AB5"/>
    <w:rsid w:val="003D1B23"/>
    <w:rsid w:val="003D2ABC"/>
    <w:rsid w:val="003D5445"/>
    <w:rsid w:val="003D6025"/>
    <w:rsid w:val="003D7818"/>
    <w:rsid w:val="003E0F10"/>
    <w:rsid w:val="003E13C5"/>
    <w:rsid w:val="003E2E36"/>
    <w:rsid w:val="003E30BB"/>
    <w:rsid w:val="003E3212"/>
    <w:rsid w:val="003E3604"/>
    <w:rsid w:val="003E500D"/>
    <w:rsid w:val="003E5010"/>
    <w:rsid w:val="003F000D"/>
    <w:rsid w:val="003F02A5"/>
    <w:rsid w:val="003F1C12"/>
    <w:rsid w:val="003F1C74"/>
    <w:rsid w:val="003F3C7D"/>
    <w:rsid w:val="003F3E3E"/>
    <w:rsid w:val="003F4AFE"/>
    <w:rsid w:val="0040129B"/>
    <w:rsid w:val="004012B0"/>
    <w:rsid w:val="00401D91"/>
    <w:rsid w:val="00402750"/>
    <w:rsid w:val="00403C39"/>
    <w:rsid w:val="00404248"/>
    <w:rsid w:val="0040514C"/>
    <w:rsid w:val="00406A69"/>
    <w:rsid w:val="00407BFF"/>
    <w:rsid w:val="0041220D"/>
    <w:rsid w:val="00413BF7"/>
    <w:rsid w:val="004145F0"/>
    <w:rsid w:val="0041487E"/>
    <w:rsid w:val="0041516C"/>
    <w:rsid w:val="0041545F"/>
    <w:rsid w:val="00415F07"/>
    <w:rsid w:val="00416740"/>
    <w:rsid w:val="00417799"/>
    <w:rsid w:val="0042273B"/>
    <w:rsid w:val="0042312A"/>
    <w:rsid w:val="004234AD"/>
    <w:rsid w:val="00424571"/>
    <w:rsid w:val="00427300"/>
    <w:rsid w:val="00427965"/>
    <w:rsid w:val="00427B8E"/>
    <w:rsid w:val="00430513"/>
    <w:rsid w:val="00430525"/>
    <w:rsid w:val="0043370F"/>
    <w:rsid w:val="00435BDF"/>
    <w:rsid w:val="00437BD3"/>
    <w:rsid w:val="004437D0"/>
    <w:rsid w:val="00443E09"/>
    <w:rsid w:val="00444C97"/>
    <w:rsid w:val="00446B26"/>
    <w:rsid w:val="00446CBC"/>
    <w:rsid w:val="00447104"/>
    <w:rsid w:val="0045007D"/>
    <w:rsid w:val="00450420"/>
    <w:rsid w:val="00450B24"/>
    <w:rsid w:val="00452415"/>
    <w:rsid w:val="004538E5"/>
    <w:rsid w:val="00454525"/>
    <w:rsid w:val="00456E80"/>
    <w:rsid w:val="0045762A"/>
    <w:rsid w:val="004616BB"/>
    <w:rsid w:val="004642F4"/>
    <w:rsid w:val="00466FB8"/>
    <w:rsid w:val="00467934"/>
    <w:rsid w:val="00467FB6"/>
    <w:rsid w:val="004704CB"/>
    <w:rsid w:val="00470EA0"/>
    <w:rsid w:val="00471947"/>
    <w:rsid w:val="004722E4"/>
    <w:rsid w:val="00472821"/>
    <w:rsid w:val="0047294E"/>
    <w:rsid w:val="0047355F"/>
    <w:rsid w:val="00475FEB"/>
    <w:rsid w:val="0047648D"/>
    <w:rsid w:val="004775FA"/>
    <w:rsid w:val="004777B9"/>
    <w:rsid w:val="00477A1E"/>
    <w:rsid w:val="00482702"/>
    <w:rsid w:val="00482D14"/>
    <w:rsid w:val="00484C41"/>
    <w:rsid w:val="004853F9"/>
    <w:rsid w:val="00486D39"/>
    <w:rsid w:val="00487940"/>
    <w:rsid w:val="00487D26"/>
    <w:rsid w:val="004901DF"/>
    <w:rsid w:val="00491414"/>
    <w:rsid w:val="004923B5"/>
    <w:rsid w:val="0049356F"/>
    <w:rsid w:val="00493DFA"/>
    <w:rsid w:val="004954BE"/>
    <w:rsid w:val="00496A32"/>
    <w:rsid w:val="00497C90"/>
    <w:rsid w:val="004A01A9"/>
    <w:rsid w:val="004A0E0F"/>
    <w:rsid w:val="004A1415"/>
    <w:rsid w:val="004B0FC2"/>
    <w:rsid w:val="004B20F2"/>
    <w:rsid w:val="004B46E1"/>
    <w:rsid w:val="004B4CA9"/>
    <w:rsid w:val="004B56DF"/>
    <w:rsid w:val="004B7090"/>
    <w:rsid w:val="004C055E"/>
    <w:rsid w:val="004D1381"/>
    <w:rsid w:val="004D1D25"/>
    <w:rsid w:val="004D2F03"/>
    <w:rsid w:val="004D3D51"/>
    <w:rsid w:val="004D576A"/>
    <w:rsid w:val="004D73A4"/>
    <w:rsid w:val="004D7EC1"/>
    <w:rsid w:val="004E0E18"/>
    <w:rsid w:val="004E1491"/>
    <w:rsid w:val="004E420F"/>
    <w:rsid w:val="004E4542"/>
    <w:rsid w:val="004E4D10"/>
    <w:rsid w:val="004E60C2"/>
    <w:rsid w:val="004E6548"/>
    <w:rsid w:val="004E7436"/>
    <w:rsid w:val="004E7836"/>
    <w:rsid w:val="004E7E4A"/>
    <w:rsid w:val="004F13BD"/>
    <w:rsid w:val="004F15BD"/>
    <w:rsid w:val="004F287D"/>
    <w:rsid w:val="004F340B"/>
    <w:rsid w:val="004F3C63"/>
    <w:rsid w:val="004F4B0C"/>
    <w:rsid w:val="004F5409"/>
    <w:rsid w:val="004F5ED7"/>
    <w:rsid w:val="004F6051"/>
    <w:rsid w:val="00501554"/>
    <w:rsid w:val="00502A19"/>
    <w:rsid w:val="00503774"/>
    <w:rsid w:val="00505C52"/>
    <w:rsid w:val="00506D18"/>
    <w:rsid w:val="00511AE2"/>
    <w:rsid w:val="00512891"/>
    <w:rsid w:val="0051673B"/>
    <w:rsid w:val="00520EFA"/>
    <w:rsid w:val="0052119F"/>
    <w:rsid w:val="00521291"/>
    <w:rsid w:val="00521F36"/>
    <w:rsid w:val="00522CBA"/>
    <w:rsid w:val="00523287"/>
    <w:rsid w:val="005239B3"/>
    <w:rsid w:val="00525315"/>
    <w:rsid w:val="00526B86"/>
    <w:rsid w:val="00526EDB"/>
    <w:rsid w:val="00530517"/>
    <w:rsid w:val="00530F21"/>
    <w:rsid w:val="005343DE"/>
    <w:rsid w:val="00534D48"/>
    <w:rsid w:val="00535277"/>
    <w:rsid w:val="00535DF5"/>
    <w:rsid w:val="00537A12"/>
    <w:rsid w:val="00540499"/>
    <w:rsid w:val="00541946"/>
    <w:rsid w:val="0054571E"/>
    <w:rsid w:val="005479A3"/>
    <w:rsid w:val="00553163"/>
    <w:rsid w:val="00553360"/>
    <w:rsid w:val="005536BF"/>
    <w:rsid w:val="0055491C"/>
    <w:rsid w:val="00556126"/>
    <w:rsid w:val="00556C05"/>
    <w:rsid w:val="0055717E"/>
    <w:rsid w:val="00562F5F"/>
    <w:rsid w:val="00563952"/>
    <w:rsid w:val="00572459"/>
    <w:rsid w:val="0057272B"/>
    <w:rsid w:val="00573B6E"/>
    <w:rsid w:val="00574287"/>
    <w:rsid w:val="00574487"/>
    <w:rsid w:val="00576E18"/>
    <w:rsid w:val="00580014"/>
    <w:rsid w:val="00580F00"/>
    <w:rsid w:val="00583ACE"/>
    <w:rsid w:val="00583C64"/>
    <w:rsid w:val="00583E0E"/>
    <w:rsid w:val="00583FC4"/>
    <w:rsid w:val="005847EC"/>
    <w:rsid w:val="005853F8"/>
    <w:rsid w:val="00585E04"/>
    <w:rsid w:val="005914EC"/>
    <w:rsid w:val="005925C7"/>
    <w:rsid w:val="0059394E"/>
    <w:rsid w:val="00594B82"/>
    <w:rsid w:val="0059548B"/>
    <w:rsid w:val="0059551C"/>
    <w:rsid w:val="0059614B"/>
    <w:rsid w:val="00597E8F"/>
    <w:rsid w:val="00597F73"/>
    <w:rsid w:val="005A02C8"/>
    <w:rsid w:val="005A0831"/>
    <w:rsid w:val="005A0B97"/>
    <w:rsid w:val="005A20FB"/>
    <w:rsid w:val="005A24B5"/>
    <w:rsid w:val="005A3369"/>
    <w:rsid w:val="005A7BB9"/>
    <w:rsid w:val="005B1837"/>
    <w:rsid w:val="005B286B"/>
    <w:rsid w:val="005B4070"/>
    <w:rsid w:val="005B49F7"/>
    <w:rsid w:val="005B58D3"/>
    <w:rsid w:val="005B5DAF"/>
    <w:rsid w:val="005B7F36"/>
    <w:rsid w:val="005C04FC"/>
    <w:rsid w:val="005C1001"/>
    <w:rsid w:val="005C242E"/>
    <w:rsid w:val="005C282A"/>
    <w:rsid w:val="005C60B2"/>
    <w:rsid w:val="005C6C5E"/>
    <w:rsid w:val="005C6FE0"/>
    <w:rsid w:val="005D02FE"/>
    <w:rsid w:val="005D0A3D"/>
    <w:rsid w:val="005D0CBD"/>
    <w:rsid w:val="005D5AD4"/>
    <w:rsid w:val="005D7021"/>
    <w:rsid w:val="005D7592"/>
    <w:rsid w:val="005D7BBD"/>
    <w:rsid w:val="005D7CAF"/>
    <w:rsid w:val="005E003A"/>
    <w:rsid w:val="005E192F"/>
    <w:rsid w:val="005E4F8A"/>
    <w:rsid w:val="005E72E8"/>
    <w:rsid w:val="005F1C9C"/>
    <w:rsid w:val="005F22C2"/>
    <w:rsid w:val="005F5634"/>
    <w:rsid w:val="005F60F0"/>
    <w:rsid w:val="005F765F"/>
    <w:rsid w:val="00600D25"/>
    <w:rsid w:val="00601653"/>
    <w:rsid w:val="00604463"/>
    <w:rsid w:val="00606138"/>
    <w:rsid w:val="00606B6E"/>
    <w:rsid w:val="00607CF4"/>
    <w:rsid w:val="0061447B"/>
    <w:rsid w:val="00614649"/>
    <w:rsid w:val="006159C7"/>
    <w:rsid w:val="00616BFE"/>
    <w:rsid w:val="00617CEC"/>
    <w:rsid w:val="00617E25"/>
    <w:rsid w:val="006212B9"/>
    <w:rsid w:val="0062303F"/>
    <w:rsid w:val="00626ADF"/>
    <w:rsid w:val="00627B9F"/>
    <w:rsid w:val="00630FEE"/>
    <w:rsid w:val="00632CB5"/>
    <w:rsid w:val="00633F77"/>
    <w:rsid w:val="00634520"/>
    <w:rsid w:val="006377A7"/>
    <w:rsid w:val="006404B9"/>
    <w:rsid w:val="006427F3"/>
    <w:rsid w:val="0064285C"/>
    <w:rsid w:val="006507B5"/>
    <w:rsid w:val="006524E8"/>
    <w:rsid w:val="00652BD4"/>
    <w:rsid w:val="00652FEB"/>
    <w:rsid w:val="00654DD2"/>
    <w:rsid w:val="00657045"/>
    <w:rsid w:val="0065736B"/>
    <w:rsid w:val="00664A02"/>
    <w:rsid w:val="00665D16"/>
    <w:rsid w:val="00666670"/>
    <w:rsid w:val="0066668C"/>
    <w:rsid w:val="00671286"/>
    <w:rsid w:val="00673809"/>
    <w:rsid w:val="006809DA"/>
    <w:rsid w:val="00680AA6"/>
    <w:rsid w:val="006827BA"/>
    <w:rsid w:val="0068281A"/>
    <w:rsid w:val="00682A15"/>
    <w:rsid w:val="006832E9"/>
    <w:rsid w:val="00683C8B"/>
    <w:rsid w:val="0068454F"/>
    <w:rsid w:val="0068592F"/>
    <w:rsid w:val="00686160"/>
    <w:rsid w:val="0068705E"/>
    <w:rsid w:val="0068751A"/>
    <w:rsid w:val="00687E8E"/>
    <w:rsid w:val="0069128D"/>
    <w:rsid w:val="00692AC0"/>
    <w:rsid w:val="00693438"/>
    <w:rsid w:val="006942DC"/>
    <w:rsid w:val="0069586A"/>
    <w:rsid w:val="006A2AE7"/>
    <w:rsid w:val="006A3A16"/>
    <w:rsid w:val="006A413E"/>
    <w:rsid w:val="006A4887"/>
    <w:rsid w:val="006A5292"/>
    <w:rsid w:val="006A5A16"/>
    <w:rsid w:val="006A650E"/>
    <w:rsid w:val="006B009D"/>
    <w:rsid w:val="006B1CDE"/>
    <w:rsid w:val="006B2BFC"/>
    <w:rsid w:val="006B59B9"/>
    <w:rsid w:val="006B62A4"/>
    <w:rsid w:val="006B7759"/>
    <w:rsid w:val="006C072B"/>
    <w:rsid w:val="006C7B23"/>
    <w:rsid w:val="006D08D6"/>
    <w:rsid w:val="006D1AF7"/>
    <w:rsid w:val="006D2C24"/>
    <w:rsid w:val="006D2EDE"/>
    <w:rsid w:val="006D36B3"/>
    <w:rsid w:val="006D4720"/>
    <w:rsid w:val="006D55B0"/>
    <w:rsid w:val="006E1B27"/>
    <w:rsid w:val="006E1F0C"/>
    <w:rsid w:val="006E3093"/>
    <w:rsid w:val="006E6211"/>
    <w:rsid w:val="006E7512"/>
    <w:rsid w:val="006E7CFF"/>
    <w:rsid w:val="006F4701"/>
    <w:rsid w:val="006F5778"/>
    <w:rsid w:val="006F6C5C"/>
    <w:rsid w:val="00702A28"/>
    <w:rsid w:val="00702C4D"/>
    <w:rsid w:val="0070424F"/>
    <w:rsid w:val="00704864"/>
    <w:rsid w:val="00705041"/>
    <w:rsid w:val="00705417"/>
    <w:rsid w:val="00705C42"/>
    <w:rsid w:val="00706D4E"/>
    <w:rsid w:val="007106A5"/>
    <w:rsid w:val="00711854"/>
    <w:rsid w:val="00712DCA"/>
    <w:rsid w:val="007154E5"/>
    <w:rsid w:val="00715F3B"/>
    <w:rsid w:val="00716673"/>
    <w:rsid w:val="007167E8"/>
    <w:rsid w:val="00716EF5"/>
    <w:rsid w:val="00717413"/>
    <w:rsid w:val="00720672"/>
    <w:rsid w:val="00721A7A"/>
    <w:rsid w:val="007236D7"/>
    <w:rsid w:val="00727D06"/>
    <w:rsid w:val="00731C0D"/>
    <w:rsid w:val="00732F97"/>
    <w:rsid w:val="0073379D"/>
    <w:rsid w:val="00734DC1"/>
    <w:rsid w:val="007368FB"/>
    <w:rsid w:val="00736DBB"/>
    <w:rsid w:val="00736E45"/>
    <w:rsid w:val="0073761A"/>
    <w:rsid w:val="0074038B"/>
    <w:rsid w:val="007415DA"/>
    <w:rsid w:val="00744E46"/>
    <w:rsid w:val="00746C05"/>
    <w:rsid w:val="00751034"/>
    <w:rsid w:val="00752847"/>
    <w:rsid w:val="0075363D"/>
    <w:rsid w:val="00753F63"/>
    <w:rsid w:val="007550F4"/>
    <w:rsid w:val="00755194"/>
    <w:rsid w:val="007559A6"/>
    <w:rsid w:val="00756072"/>
    <w:rsid w:val="007569C5"/>
    <w:rsid w:val="00757540"/>
    <w:rsid w:val="007579D0"/>
    <w:rsid w:val="00761BCB"/>
    <w:rsid w:val="007631A3"/>
    <w:rsid w:val="00763C54"/>
    <w:rsid w:val="0076441E"/>
    <w:rsid w:val="00764907"/>
    <w:rsid w:val="00765708"/>
    <w:rsid w:val="007678A6"/>
    <w:rsid w:val="007707FB"/>
    <w:rsid w:val="00771460"/>
    <w:rsid w:val="00771C63"/>
    <w:rsid w:val="00771D14"/>
    <w:rsid w:val="00772A8A"/>
    <w:rsid w:val="007737C6"/>
    <w:rsid w:val="00775E03"/>
    <w:rsid w:val="007776DA"/>
    <w:rsid w:val="007805B5"/>
    <w:rsid w:val="00781604"/>
    <w:rsid w:val="00782950"/>
    <w:rsid w:val="00782C6A"/>
    <w:rsid w:val="00782C8D"/>
    <w:rsid w:val="00782DD9"/>
    <w:rsid w:val="00786138"/>
    <w:rsid w:val="00787823"/>
    <w:rsid w:val="00790307"/>
    <w:rsid w:val="007905B2"/>
    <w:rsid w:val="00796F8D"/>
    <w:rsid w:val="007A47B4"/>
    <w:rsid w:val="007A671D"/>
    <w:rsid w:val="007B1F3B"/>
    <w:rsid w:val="007B27DD"/>
    <w:rsid w:val="007B60C0"/>
    <w:rsid w:val="007B6140"/>
    <w:rsid w:val="007B6B0A"/>
    <w:rsid w:val="007C06CC"/>
    <w:rsid w:val="007C145E"/>
    <w:rsid w:val="007C14DD"/>
    <w:rsid w:val="007C2025"/>
    <w:rsid w:val="007C28E4"/>
    <w:rsid w:val="007D5B61"/>
    <w:rsid w:val="007E136C"/>
    <w:rsid w:val="007E2371"/>
    <w:rsid w:val="007E3A00"/>
    <w:rsid w:val="007E4661"/>
    <w:rsid w:val="007E52BB"/>
    <w:rsid w:val="007E55DB"/>
    <w:rsid w:val="007E60CD"/>
    <w:rsid w:val="007E69B4"/>
    <w:rsid w:val="007F0EB8"/>
    <w:rsid w:val="007F1DBB"/>
    <w:rsid w:val="007F2811"/>
    <w:rsid w:val="007F329E"/>
    <w:rsid w:val="007F3E0A"/>
    <w:rsid w:val="007F693D"/>
    <w:rsid w:val="00800C36"/>
    <w:rsid w:val="00800E10"/>
    <w:rsid w:val="00800E3C"/>
    <w:rsid w:val="00803463"/>
    <w:rsid w:val="008044C7"/>
    <w:rsid w:val="00811367"/>
    <w:rsid w:val="00811C4B"/>
    <w:rsid w:val="00811E5D"/>
    <w:rsid w:val="00812263"/>
    <w:rsid w:val="00813F99"/>
    <w:rsid w:val="00815313"/>
    <w:rsid w:val="0081531B"/>
    <w:rsid w:val="00816073"/>
    <w:rsid w:val="00820903"/>
    <w:rsid w:val="00820A33"/>
    <w:rsid w:val="00821863"/>
    <w:rsid w:val="008239AC"/>
    <w:rsid w:val="00830E99"/>
    <w:rsid w:val="008349FA"/>
    <w:rsid w:val="00835771"/>
    <w:rsid w:val="00835D9D"/>
    <w:rsid w:val="00843080"/>
    <w:rsid w:val="00843232"/>
    <w:rsid w:val="0084331C"/>
    <w:rsid w:val="0084377C"/>
    <w:rsid w:val="00844675"/>
    <w:rsid w:val="008446BC"/>
    <w:rsid w:val="0084503B"/>
    <w:rsid w:val="00846345"/>
    <w:rsid w:val="008471C9"/>
    <w:rsid w:val="00850685"/>
    <w:rsid w:val="0085122C"/>
    <w:rsid w:val="0085206C"/>
    <w:rsid w:val="0085223E"/>
    <w:rsid w:val="00852ACE"/>
    <w:rsid w:val="00855A48"/>
    <w:rsid w:val="0086039F"/>
    <w:rsid w:val="00861BBD"/>
    <w:rsid w:val="0086407F"/>
    <w:rsid w:val="00864676"/>
    <w:rsid w:val="00871417"/>
    <w:rsid w:val="00871940"/>
    <w:rsid w:val="00871CC0"/>
    <w:rsid w:val="008734CE"/>
    <w:rsid w:val="0087351F"/>
    <w:rsid w:val="0087630F"/>
    <w:rsid w:val="0087659B"/>
    <w:rsid w:val="00877B3D"/>
    <w:rsid w:val="0088007A"/>
    <w:rsid w:val="00880227"/>
    <w:rsid w:val="00880C85"/>
    <w:rsid w:val="008812AF"/>
    <w:rsid w:val="00881F6B"/>
    <w:rsid w:val="008828C6"/>
    <w:rsid w:val="00883885"/>
    <w:rsid w:val="00884C3E"/>
    <w:rsid w:val="00887A9F"/>
    <w:rsid w:val="00891516"/>
    <w:rsid w:val="00892D21"/>
    <w:rsid w:val="00893B2E"/>
    <w:rsid w:val="00895779"/>
    <w:rsid w:val="008960D9"/>
    <w:rsid w:val="008961D7"/>
    <w:rsid w:val="00896725"/>
    <w:rsid w:val="00896B25"/>
    <w:rsid w:val="008A3D29"/>
    <w:rsid w:val="008A6E38"/>
    <w:rsid w:val="008B2977"/>
    <w:rsid w:val="008B5013"/>
    <w:rsid w:val="008B5301"/>
    <w:rsid w:val="008B56B9"/>
    <w:rsid w:val="008B5DBF"/>
    <w:rsid w:val="008B64ED"/>
    <w:rsid w:val="008C08DA"/>
    <w:rsid w:val="008C0B54"/>
    <w:rsid w:val="008C3B72"/>
    <w:rsid w:val="008C3BDD"/>
    <w:rsid w:val="008C4E28"/>
    <w:rsid w:val="008C5956"/>
    <w:rsid w:val="008C68C5"/>
    <w:rsid w:val="008C7439"/>
    <w:rsid w:val="008D1B42"/>
    <w:rsid w:val="008D29B2"/>
    <w:rsid w:val="008D3733"/>
    <w:rsid w:val="008D74F2"/>
    <w:rsid w:val="008D75A3"/>
    <w:rsid w:val="008E0AC3"/>
    <w:rsid w:val="008E15F3"/>
    <w:rsid w:val="008E2D20"/>
    <w:rsid w:val="008E3742"/>
    <w:rsid w:val="008E5236"/>
    <w:rsid w:val="008E5DCC"/>
    <w:rsid w:val="008E665C"/>
    <w:rsid w:val="008E7883"/>
    <w:rsid w:val="008E7893"/>
    <w:rsid w:val="008F0B7F"/>
    <w:rsid w:val="008F2856"/>
    <w:rsid w:val="008F408D"/>
    <w:rsid w:val="008F5945"/>
    <w:rsid w:val="008F76BB"/>
    <w:rsid w:val="009018A3"/>
    <w:rsid w:val="00901A06"/>
    <w:rsid w:val="0090397A"/>
    <w:rsid w:val="00903CA3"/>
    <w:rsid w:val="0090459B"/>
    <w:rsid w:val="00904784"/>
    <w:rsid w:val="0090570A"/>
    <w:rsid w:val="009069FD"/>
    <w:rsid w:val="009072F2"/>
    <w:rsid w:val="00911005"/>
    <w:rsid w:val="00911A0D"/>
    <w:rsid w:val="00912093"/>
    <w:rsid w:val="00913359"/>
    <w:rsid w:val="009164CD"/>
    <w:rsid w:val="00917495"/>
    <w:rsid w:val="009204DD"/>
    <w:rsid w:val="009223DE"/>
    <w:rsid w:val="00924214"/>
    <w:rsid w:val="0092436F"/>
    <w:rsid w:val="00924C9C"/>
    <w:rsid w:val="00924D43"/>
    <w:rsid w:val="0092501A"/>
    <w:rsid w:val="00926C52"/>
    <w:rsid w:val="00926D55"/>
    <w:rsid w:val="00927FDB"/>
    <w:rsid w:val="009317E8"/>
    <w:rsid w:val="00931CA2"/>
    <w:rsid w:val="00933DF2"/>
    <w:rsid w:val="009343B2"/>
    <w:rsid w:val="009344E1"/>
    <w:rsid w:val="00935907"/>
    <w:rsid w:val="00936D07"/>
    <w:rsid w:val="00936DA2"/>
    <w:rsid w:val="0094113F"/>
    <w:rsid w:val="00941879"/>
    <w:rsid w:val="00942BCE"/>
    <w:rsid w:val="009438FA"/>
    <w:rsid w:val="00943A9E"/>
    <w:rsid w:val="00944414"/>
    <w:rsid w:val="009457E4"/>
    <w:rsid w:val="00945960"/>
    <w:rsid w:val="00945EE6"/>
    <w:rsid w:val="00946F35"/>
    <w:rsid w:val="00951836"/>
    <w:rsid w:val="009519FC"/>
    <w:rsid w:val="00951AEB"/>
    <w:rsid w:val="0095232E"/>
    <w:rsid w:val="00953C23"/>
    <w:rsid w:val="0095472E"/>
    <w:rsid w:val="00954A60"/>
    <w:rsid w:val="0095618E"/>
    <w:rsid w:val="0096008C"/>
    <w:rsid w:val="0096032A"/>
    <w:rsid w:val="00960903"/>
    <w:rsid w:val="00965524"/>
    <w:rsid w:val="00973776"/>
    <w:rsid w:val="00973D60"/>
    <w:rsid w:val="00974147"/>
    <w:rsid w:val="00974B85"/>
    <w:rsid w:val="009754CC"/>
    <w:rsid w:val="00977FD8"/>
    <w:rsid w:val="00980138"/>
    <w:rsid w:val="009803CD"/>
    <w:rsid w:val="00981C00"/>
    <w:rsid w:val="0098238A"/>
    <w:rsid w:val="00982CAB"/>
    <w:rsid w:val="00984848"/>
    <w:rsid w:val="00984A7A"/>
    <w:rsid w:val="00985A7E"/>
    <w:rsid w:val="00985C67"/>
    <w:rsid w:val="009868A2"/>
    <w:rsid w:val="009917F7"/>
    <w:rsid w:val="00991938"/>
    <w:rsid w:val="00991EDB"/>
    <w:rsid w:val="00993685"/>
    <w:rsid w:val="00997148"/>
    <w:rsid w:val="009A2E97"/>
    <w:rsid w:val="009A3BB8"/>
    <w:rsid w:val="009B0676"/>
    <w:rsid w:val="009B48BA"/>
    <w:rsid w:val="009B4CAE"/>
    <w:rsid w:val="009B6C65"/>
    <w:rsid w:val="009B6DBC"/>
    <w:rsid w:val="009B6DDE"/>
    <w:rsid w:val="009B7F84"/>
    <w:rsid w:val="009C0A63"/>
    <w:rsid w:val="009C149E"/>
    <w:rsid w:val="009C27A0"/>
    <w:rsid w:val="009C328A"/>
    <w:rsid w:val="009C3328"/>
    <w:rsid w:val="009C4DC8"/>
    <w:rsid w:val="009C597D"/>
    <w:rsid w:val="009C6EC8"/>
    <w:rsid w:val="009C7860"/>
    <w:rsid w:val="009D1192"/>
    <w:rsid w:val="009D1A87"/>
    <w:rsid w:val="009D1E1E"/>
    <w:rsid w:val="009D3779"/>
    <w:rsid w:val="009D42B0"/>
    <w:rsid w:val="009D4CA1"/>
    <w:rsid w:val="009D5A84"/>
    <w:rsid w:val="009D73E0"/>
    <w:rsid w:val="009D7B5F"/>
    <w:rsid w:val="009E28B4"/>
    <w:rsid w:val="009E29CA"/>
    <w:rsid w:val="009E3EEF"/>
    <w:rsid w:val="009E64E8"/>
    <w:rsid w:val="009E6A18"/>
    <w:rsid w:val="009E7EED"/>
    <w:rsid w:val="009EAADB"/>
    <w:rsid w:val="009F0920"/>
    <w:rsid w:val="009F21D2"/>
    <w:rsid w:val="009F357B"/>
    <w:rsid w:val="009F3D4E"/>
    <w:rsid w:val="009F64D7"/>
    <w:rsid w:val="009F7140"/>
    <w:rsid w:val="009F79DA"/>
    <w:rsid w:val="00A013EC"/>
    <w:rsid w:val="00A01F86"/>
    <w:rsid w:val="00A03C54"/>
    <w:rsid w:val="00A1071D"/>
    <w:rsid w:val="00A115E2"/>
    <w:rsid w:val="00A12733"/>
    <w:rsid w:val="00A13FEE"/>
    <w:rsid w:val="00A14377"/>
    <w:rsid w:val="00A14DB5"/>
    <w:rsid w:val="00A213DE"/>
    <w:rsid w:val="00A21A59"/>
    <w:rsid w:val="00A26E3F"/>
    <w:rsid w:val="00A2763A"/>
    <w:rsid w:val="00A276B7"/>
    <w:rsid w:val="00A34B94"/>
    <w:rsid w:val="00A36B0B"/>
    <w:rsid w:val="00A36B38"/>
    <w:rsid w:val="00A37167"/>
    <w:rsid w:val="00A37D54"/>
    <w:rsid w:val="00A40E0A"/>
    <w:rsid w:val="00A41735"/>
    <w:rsid w:val="00A424A9"/>
    <w:rsid w:val="00A42E57"/>
    <w:rsid w:val="00A4491E"/>
    <w:rsid w:val="00A44EB2"/>
    <w:rsid w:val="00A4633D"/>
    <w:rsid w:val="00A46CA9"/>
    <w:rsid w:val="00A46F75"/>
    <w:rsid w:val="00A515DC"/>
    <w:rsid w:val="00A53B73"/>
    <w:rsid w:val="00A53CC2"/>
    <w:rsid w:val="00A54FDE"/>
    <w:rsid w:val="00A55DC5"/>
    <w:rsid w:val="00A56E94"/>
    <w:rsid w:val="00A57087"/>
    <w:rsid w:val="00A572D8"/>
    <w:rsid w:val="00A60094"/>
    <w:rsid w:val="00A64D53"/>
    <w:rsid w:val="00A65A6B"/>
    <w:rsid w:val="00A708C5"/>
    <w:rsid w:val="00A7191D"/>
    <w:rsid w:val="00A74D3C"/>
    <w:rsid w:val="00A770F2"/>
    <w:rsid w:val="00A77DE3"/>
    <w:rsid w:val="00A80A36"/>
    <w:rsid w:val="00A81CE2"/>
    <w:rsid w:val="00A82B10"/>
    <w:rsid w:val="00A83098"/>
    <w:rsid w:val="00A84B10"/>
    <w:rsid w:val="00A8558E"/>
    <w:rsid w:val="00A86D4C"/>
    <w:rsid w:val="00A86D76"/>
    <w:rsid w:val="00A87896"/>
    <w:rsid w:val="00A9089F"/>
    <w:rsid w:val="00A94264"/>
    <w:rsid w:val="00A94A3B"/>
    <w:rsid w:val="00A96377"/>
    <w:rsid w:val="00A97925"/>
    <w:rsid w:val="00AA17A0"/>
    <w:rsid w:val="00AA271B"/>
    <w:rsid w:val="00AA3868"/>
    <w:rsid w:val="00AA3A93"/>
    <w:rsid w:val="00AA3B24"/>
    <w:rsid w:val="00AA4A22"/>
    <w:rsid w:val="00AA506B"/>
    <w:rsid w:val="00AA59E3"/>
    <w:rsid w:val="00AA6E72"/>
    <w:rsid w:val="00AA7455"/>
    <w:rsid w:val="00AA7648"/>
    <w:rsid w:val="00AB20E3"/>
    <w:rsid w:val="00AB2203"/>
    <w:rsid w:val="00AB5F46"/>
    <w:rsid w:val="00AC274A"/>
    <w:rsid w:val="00AC2CB5"/>
    <w:rsid w:val="00AC4210"/>
    <w:rsid w:val="00AC43C3"/>
    <w:rsid w:val="00AC546C"/>
    <w:rsid w:val="00AC5906"/>
    <w:rsid w:val="00AC5A00"/>
    <w:rsid w:val="00AC5ABF"/>
    <w:rsid w:val="00AC6C68"/>
    <w:rsid w:val="00AC749C"/>
    <w:rsid w:val="00AC7C96"/>
    <w:rsid w:val="00AD090B"/>
    <w:rsid w:val="00AD273B"/>
    <w:rsid w:val="00AD3121"/>
    <w:rsid w:val="00AD3678"/>
    <w:rsid w:val="00AD4252"/>
    <w:rsid w:val="00AD6589"/>
    <w:rsid w:val="00AD66A8"/>
    <w:rsid w:val="00AD6713"/>
    <w:rsid w:val="00AE0179"/>
    <w:rsid w:val="00AE3264"/>
    <w:rsid w:val="00AE41F7"/>
    <w:rsid w:val="00AE474C"/>
    <w:rsid w:val="00AE5BAC"/>
    <w:rsid w:val="00AE5F05"/>
    <w:rsid w:val="00AE639E"/>
    <w:rsid w:val="00AE6D62"/>
    <w:rsid w:val="00AF2C69"/>
    <w:rsid w:val="00AF3851"/>
    <w:rsid w:val="00AF3D04"/>
    <w:rsid w:val="00AF59B1"/>
    <w:rsid w:val="00B009EA"/>
    <w:rsid w:val="00B031A2"/>
    <w:rsid w:val="00B0599B"/>
    <w:rsid w:val="00B07427"/>
    <w:rsid w:val="00B075B7"/>
    <w:rsid w:val="00B07BED"/>
    <w:rsid w:val="00B10C2E"/>
    <w:rsid w:val="00B1121C"/>
    <w:rsid w:val="00B12DDB"/>
    <w:rsid w:val="00B13188"/>
    <w:rsid w:val="00B13C5A"/>
    <w:rsid w:val="00B148E6"/>
    <w:rsid w:val="00B14BEB"/>
    <w:rsid w:val="00B167EA"/>
    <w:rsid w:val="00B167F9"/>
    <w:rsid w:val="00B176F7"/>
    <w:rsid w:val="00B27877"/>
    <w:rsid w:val="00B33A47"/>
    <w:rsid w:val="00B3575F"/>
    <w:rsid w:val="00B3628E"/>
    <w:rsid w:val="00B426BD"/>
    <w:rsid w:val="00B432EB"/>
    <w:rsid w:val="00B43867"/>
    <w:rsid w:val="00B4517E"/>
    <w:rsid w:val="00B464D5"/>
    <w:rsid w:val="00B46A91"/>
    <w:rsid w:val="00B46AC5"/>
    <w:rsid w:val="00B51EEC"/>
    <w:rsid w:val="00B51F8F"/>
    <w:rsid w:val="00B53279"/>
    <w:rsid w:val="00B53AC4"/>
    <w:rsid w:val="00B54B50"/>
    <w:rsid w:val="00B54E4C"/>
    <w:rsid w:val="00B5637F"/>
    <w:rsid w:val="00B61884"/>
    <w:rsid w:val="00B633B6"/>
    <w:rsid w:val="00B636EF"/>
    <w:rsid w:val="00B63707"/>
    <w:rsid w:val="00B6437B"/>
    <w:rsid w:val="00B64D6F"/>
    <w:rsid w:val="00B65151"/>
    <w:rsid w:val="00B66A65"/>
    <w:rsid w:val="00B67A5A"/>
    <w:rsid w:val="00B70536"/>
    <w:rsid w:val="00B70695"/>
    <w:rsid w:val="00B73FCD"/>
    <w:rsid w:val="00B74AF3"/>
    <w:rsid w:val="00B77428"/>
    <w:rsid w:val="00B77952"/>
    <w:rsid w:val="00B77F7B"/>
    <w:rsid w:val="00B80DB3"/>
    <w:rsid w:val="00B810BC"/>
    <w:rsid w:val="00B8149B"/>
    <w:rsid w:val="00B828B5"/>
    <w:rsid w:val="00B84351"/>
    <w:rsid w:val="00B84764"/>
    <w:rsid w:val="00B868DC"/>
    <w:rsid w:val="00B8702F"/>
    <w:rsid w:val="00B91476"/>
    <w:rsid w:val="00B92AC6"/>
    <w:rsid w:val="00B948E2"/>
    <w:rsid w:val="00B97502"/>
    <w:rsid w:val="00B9774A"/>
    <w:rsid w:val="00BA17E4"/>
    <w:rsid w:val="00BA1EA1"/>
    <w:rsid w:val="00BA21A5"/>
    <w:rsid w:val="00BA5615"/>
    <w:rsid w:val="00BB06EB"/>
    <w:rsid w:val="00BB4CDD"/>
    <w:rsid w:val="00BB5048"/>
    <w:rsid w:val="00BB5C77"/>
    <w:rsid w:val="00BB639E"/>
    <w:rsid w:val="00BB75C1"/>
    <w:rsid w:val="00BC0A48"/>
    <w:rsid w:val="00BC5F82"/>
    <w:rsid w:val="00BC7E05"/>
    <w:rsid w:val="00BD0767"/>
    <w:rsid w:val="00BD1D70"/>
    <w:rsid w:val="00BD34C3"/>
    <w:rsid w:val="00BD41AB"/>
    <w:rsid w:val="00BD429B"/>
    <w:rsid w:val="00BD4979"/>
    <w:rsid w:val="00BD52BE"/>
    <w:rsid w:val="00BD74D6"/>
    <w:rsid w:val="00BD7736"/>
    <w:rsid w:val="00BD796B"/>
    <w:rsid w:val="00BE0585"/>
    <w:rsid w:val="00BE05D3"/>
    <w:rsid w:val="00BE12E9"/>
    <w:rsid w:val="00BE2284"/>
    <w:rsid w:val="00BE24A2"/>
    <w:rsid w:val="00BE279C"/>
    <w:rsid w:val="00BE4C36"/>
    <w:rsid w:val="00BE6A0F"/>
    <w:rsid w:val="00BE6F79"/>
    <w:rsid w:val="00BE763C"/>
    <w:rsid w:val="00BF1811"/>
    <w:rsid w:val="00BF2113"/>
    <w:rsid w:val="00BF4293"/>
    <w:rsid w:val="00BF4A04"/>
    <w:rsid w:val="00BF5F44"/>
    <w:rsid w:val="00BF6911"/>
    <w:rsid w:val="00BF6CDA"/>
    <w:rsid w:val="00C031C4"/>
    <w:rsid w:val="00C03A89"/>
    <w:rsid w:val="00C0428A"/>
    <w:rsid w:val="00C055DC"/>
    <w:rsid w:val="00C059B8"/>
    <w:rsid w:val="00C06202"/>
    <w:rsid w:val="00C078DE"/>
    <w:rsid w:val="00C07B76"/>
    <w:rsid w:val="00C112A7"/>
    <w:rsid w:val="00C11F1C"/>
    <w:rsid w:val="00C13A5A"/>
    <w:rsid w:val="00C13FFA"/>
    <w:rsid w:val="00C14223"/>
    <w:rsid w:val="00C17BCE"/>
    <w:rsid w:val="00C17D80"/>
    <w:rsid w:val="00C17DA8"/>
    <w:rsid w:val="00C205E3"/>
    <w:rsid w:val="00C21871"/>
    <w:rsid w:val="00C22207"/>
    <w:rsid w:val="00C224B3"/>
    <w:rsid w:val="00C233DC"/>
    <w:rsid w:val="00C23BB1"/>
    <w:rsid w:val="00C2532E"/>
    <w:rsid w:val="00C2608A"/>
    <w:rsid w:val="00C26BA4"/>
    <w:rsid w:val="00C2704E"/>
    <w:rsid w:val="00C30E9E"/>
    <w:rsid w:val="00C31CE3"/>
    <w:rsid w:val="00C33C7B"/>
    <w:rsid w:val="00C34DA0"/>
    <w:rsid w:val="00C363DD"/>
    <w:rsid w:val="00C37090"/>
    <w:rsid w:val="00C37AF8"/>
    <w:rsid w:val="00C37E39"/>
    <w:rsid w:val="00C40ECF"/>
    <w:rsid w:val="00C41441"/>
    <w:rsid w:val="00C41534"/>
    <w:rsid w:val="00C424AC"/>
    <w:rsid w:val="00C45A43"/>
    <w:rsid w:val="00C45EA8"/>
    <w:rsid w:val="00C46316"/>
    <w:rsid w:val="00C50469"/>
    <w:rsid w:val="00C50613"/>
    <w:rsid w:val="00C50DD3"/>
    <w:rsid w:val="00C50EDB"/>
    <w:rsid w:val="00C52FEC"/>
    <w:rsid w:val="00C5328B"/>
    <w:rsid w:val="00C55608"/>
    <w:rsid w:val="00C5715D"/>
    <w:rsid w:val="00C605C4"/>
    <w:rsid w:val="00C6092E"/>
    <w:rsid w:val="00C61C9B"/>
    <w:rsid w:val="00C62D12"/>
    <w:rsid w:val="00C63577"/>
    <w:rsid w:val="00C644D8"/>
    <w:rsid w:val="00C7128E"/>
    <w:rsid w:val="00C71B50"/>
    <w:rsid w:val="00C721C4"/>
    <w:rsid w:val="00C72BD4"/>
    <w:rsid w:val="00C73347"/>
    <w:rsid w:val="00C740B5"/>
    <w:rsid w:val="00C74262"/>
    <w:rsid w:val="00C746BD"/>
    <w:rsid w:val="00C74CD8"/>
    <w:rsid w:val="00C75811"/>
    <w:rsid w:val="00C80AC0"/>
    <w:rsid w:val="00C82E6B"/>
    <w:rsid w:val="00C848B2"/>
    <w:rsid w:val="00C8554B"/>
    <w:rsid w:val="00C85808"/>
    <w:rsid w:val="00C85825"/>
    <w:rsid w:val="00C85FCB"/>
    <w:rsid w:val="00C8740A"/>
    <w:rsid w:val="00C879D8"/>
    <w:rsid w:val="00C918BF"/>
    <w:rsid w:val="00C92173"/>
    <w:rsid w:val="00C94DF4"/>
    <w:rsid w:val="00C95903"/>
    <w:rsid w:val="00C96C12"/>
    <w:rsid w:val="00C97673"/>
    <w:rsid w:val="00C9775B"/>
    <w:rsid w:val="00C97867"/>
    <w:rsid w:val="00CA065F"/>
    <w:rsid w:val="00CA21C8"/>
    <w:rsid w:val="00CA23B6"/>
    <w:rsid w:val="00CA5A71"/>
    <w:rsid w:val="00CB107A"/>
    <w:rsid w:val="00CB2229"/>
    <w:rsid w:val="00CB2583"/>
    <w:rsid w:val="00CB49BA"/>
    <w:rsid w:val="00CB7014"/>
    <w:rsid w:val="00CB7734"/>
    <w:rsid w:val="00CB7758"/>
    <w:rsid w:val="00CC28AD"/>
    <w:rsid w:val="00CC4F52"/>
    <w:rsid w:val="00CC5A8F"/>
    <w:rsid w:val="00CC759E"/>
    <w:rsid w:val="00CD06F5"/>
    <w:rsid w:val="00CD1139"/>
    <w:rsid w:val="00CD1E90"/>
    <w:rsid w:val="00CD3062"/>
    <w:rsid w:val="00CD7363"/>
    <w:rsid w:val="00CD7751"/>
    <w:rsid w:val="00CD78BB"/>
    <w:rsid w:val="00CE01B5"/>
    <w:rsid w:val="00CE42D1"/>
    <w:rsid w:val="00CE584D"/>
    <w:rsid w:val="00CE5ACB"/>
    <w:rsid w:val="00CE67E9"/>
    <w:rsid w:val="00CE7BFD"/>
    <w:rsid w:val="00CF0343"/>
    <w:rsid w:val="00CF2427"/>
    <w:rsid w:val="00CF33C3"/>
    <w:rsid w:val="00CF40C4"/>
    <w:rsid w:val="00CF5F3C"/>
    <w:rsid w:val="00CF6D49"/>
    <w:rsid w:val="00D00B60"/>
    <w:rsid w:val="00D01F8D"/>
    <w:rsid w:val="00D04E81"/>
    <w:rsid w:val="00D04FAF"/>
    <w:rsid w:val="00D054EF"/>
    <w:rsid w:val="00D05775"/>
    <w:rsid w:val="00D06A53"/>
    <w:rsid w:val="00D11633"/>
    <w:rsid w:val="00D1520E"/>
    <w:rsid w:val="00D2045C"/>
    <w:rsid w:val="00D230A4"/>
    <w:rsid w:val="00D24730"/>
    <w:rsid w:val="00D26B58"/>
    <w:rsid w:val="00D26DEF"/>
    <w:rsid w:val="00D27D83"/>
    <w:rsid w:val="00D3094F"/>
    <w:rsid w:val="00D3115B"/>
    <w:rsid w:val="00D3486C"/>
    <w:rsid w:val="00D35A88"/>
    <w:rsid w:val="00D37A61"/>
    <w:rsid w:val="00D400F5"/>
    <w:rsid w:val="00D40323"/>
    <w:rsid w:val="00D4041C"/>
    <w:rsid w:val="00D41CAC"/>
    <w:rsid w:val="00D42884"/>
    <w:rsid w:val="00D439D0"/>
    <w:rsid w:val="00D45E43"/>
    <w:rsid w:val="00D4774C"/>
    <w:rsid w:val="00D47CD3"/>
    <w:rsid w:val="00D47F43"/>
    <w:rsid w:val="00D50F64"/>
    <w:rsid w:val="00D515FF"/>
    <w:rsid w:val="00D51EC4"/>
    <w:rsid w:val="00D52A1D"/>
    <w:rsid w:val="00D53569"/>
    <w:rsid w:val="00D53F72"/>
    <w:rsid w:val="00D5468B"/>
    <w:rsid w:val="00D54C2F"/>
    <w:rsid w:val="00D54EAC"/>
    <w:rsid w:val="00D5534E"/>
    <w:rsid w:val="00D55460"/>
    <w:rsid w:val="00D56AAD"/>
    <w:rsid w:val="00D56D9B"/>
    <w:rsid w:val="00D57F36"/>
    <w:rsid w:val="00D60552"/>
    <w:rsid w:val="00D63A7A"/>
    <w:rsid w:val="00D63DF2"/>
    <w:rsid w:val="00D67982"/>
    <w:rsid w:val="00D728B6"/>
    <w:rsid w:val="00D73B5C"/>
    <w:rsid w:val="00D74321"/>
    <w:rsid w:val="00D74DC0"/>
    <w:rsid w:val="00D77E5C"/>
    <w:rsid w:val="00D82507"/>
    <w:rsid w:val="00D82860"/>
    <w:rsid w:val="00D83011"/>
    <w:rsid w:val="00D8700F"/>
    <w:rsid w:val="00D879FB"/>
    <w:rsid w:val="00D90433"/>
    <w:rsid w:val="00D90DBB"/>
    <w:rsid w:val="00D92198"/>
    <w:rsid w:val="00D93526"/>
    <w:rsid w:val="00D96161"/>
    <w:rsid w:val="00D96166"/>
    <w:rsid w:val="00D96390"/>
    <w:rsid w:val="00D97ACC"/>
    <w:rsid w:val="00DA1144"/>
    <w:rsid w:val="00DA1B5F"/>
    <w:rsid w:val="00DA2A04"/>
    <w:rsid w:val="00DA4DDE"/>
    <w:rsid w:val="00DA5B24"/>
    <w:rsid w:val="00DA5B34"/>
    <w:rsid w:val="00DA5B6D"/>
    <w:rsid w:val="00DA6985"/>
    <w:rsid w:val="00DA6FB8"/>
    <w:rsid w:val="00DA731F"/>
    <w:rsid w:val="00DA73E9"/>
    <w:rsid w:val="00DB0B2C"/>
    <w:rsid w:val="00DB0BD8"/>
    <w:rsid w:val="00DB13E0"/>
    <w:rsid w:val="00DB29EE"/>
    <w:rsid w:val="00DB2E21"/>
    <w:rsid w:val="00DB2EB9"/>
    <w:rsid w:val="00DB4FEB"/>
    <w:rsid w:val="00DB5C5B"/>
    <w:rsid w:val="00DB64B6"/>
    <w:rsid w:val="00DB704C"/>
    <w:rsid w:val="00DB7390"/>
    <w:rsid w:val="00DC2A84"/>
    <w:rsid w:val="00DC40B9"/>
    <w:rsid w:val="00DC56B0"/>
    <w:rsid w:val="00DC5C26"/>
    <w:rsid w:val="00DC76C6"/>
    <w:rsid w:val="00DC7D17"/>
    <w:rsid w:val="00DC7D91"/>
    <w:rsid w:val="00DD0793"/>
    <w:rsid w:val="00DD1D6F"/>
    <w:rsid w:val="00DD3827"/>
    <w:rsid w:val="00DD3A3B"/>
    <w:rsid w:val="00DD3DAB"/>
    <w:rsid w:val="00DD3F8B"/>
    <w:rsid w:val="00DD5C20"/>
    <w:rsid w:val="00DE1191"/>
    <w:rsid w:val="00DE1D51"/>
    <w:rsid w:val="00DE3283"/>
    <w:rsid w:val="00DE5E47"/>
    <w:rsid w:val="00DF0446"/>
    <w:rsid w:val="00DF06B5"/>
    <w:rsid w:val="00DF1283"/>
    <w:rsid w:val="00DF2A0A"/>
    <w:rsid w:val="00DF35EC"/>
    <w:rsid w:val="00DF3AA8"/>
    <w:rsid w:val="00DF5D19"/>
    <w:rsid w:val="00E0341B"/>
    <w:rsid w:val="00E03687"/>
    <w:rsid w:val="00E0680D"/>
    <w:rsid w:val="00E1148D"/>
    <w:rsid w:val="00E118FC"/>
    <w:rsid w:val="00E1312C"/>
    <w:rsid w:val="00E20BA6"/>
    <w:rsid w:val="00E2216A"/>
    <w:rsid w:val="00E23483"/>
    <w:rsid w:val="00E23BC9"/>
    <w:rsid w:val="00E24306"/>
    <w:rsid w:val="00E24D89"/>
    <w:rsid w:val="00E25AA4"/>
    <w:rsid w:val="00E26FD0"/>
    <w:rsid w:val="00E2728E"/>
    <w:rsid w:val="00E27B6C"/>
    <w:rsid w:val="00E27CD6"/>
    <w:rsid w:val="00E27FA0"/>
    <w:rsid w:val="00E32A5B"/>
    <w:rsid w:val="00E40606"/>
    <w:rsid w:val="00E40FA8"/>
    <w:rsid w:val="00E424C8"/>
    <w:rsid w:val="00E44E02"/>
    <w:rsid w:val="00E455C7"/>
    <w:rsid w:val="00E45FBA"/>
    <w:rsid w:val="00E46237"/>
    <w:rsid w:val="00E47146"/>
    <w:rsid w:val="00E47E82"/>
    <w:rsid w:val="00E510E5"/>
    <w:rsid w:val="00E51477"/>
    <w:rsid w:val="00E51763"/>
    <w:rsid w:val="00E54A22"/>
    <w:rsid w:val="00E54AEF"/>
    <w:rsid w:val="00E60013"/>
    <w:rsid w:val="00E61868"/>
    <w:rsid w:val="00E6234E"/>
    <w:rsid w:val="00E6312C"/>
    <w:rsid w:val="00E642F8"/>
    <w:rsid w:val="00E650ED"/>
    <w:rsid w:val="00E66858"/>
    <w:rsid w:val="00E671F1"/>
    <w:rsid w:val="00E7181B"/>
    <w:rsid w:val="00E72E81"/>
    <w:rsid w:val="00E73E64"/>
    <w:rsid w:val="00E747B0"/>
    <w:rsid w:val="00E75CD0"/>
    <w:rsid w:val="00E77231"/>
    <w:rsid w:val="00E774E8"/>
    <w:rsid w:val="00E77672"/>
    <w:rsid w:val="00E77F61"/>
    <w:rsid w:val="00E80947"/>
    <w:rsid w:val="00E81A71"/>
    <w:rsid w:val="00E81BA3"/>
    <w:rsid w:val="00E81F28"/>
    <w:rsid w:val="00E83AD3"/>
    <w:rsid w:val="00E8567C"/>
    <w:rsid w:val="00E8588F"/>
    <w:rsid w:val="00E861B0"/>
    <w:rsid w:val="00E8686F"/>
    <w:rsid w:val="00E8796B"/>
    <w:rsid w:val="00E9063B"/>
    <w:rsid w:val="00E91813"/>
    <w:rsid w:val="00E91B4D"/>
    <w:rsid w:val="00E91B86"/>
    <w:rsid w:val="00E93353"/>
    <w:rsid w:val="00E95F1B"/>
    <w:rsid w:val="00E97161"/>
    <w:rsid w:val="00EA18C2"/>
    <w:rsid w:val="00EA2857"/>
    <w:rsid w:val="00EA50D6"/>
    <w:rsid w:val="00EA5186"/>
    <w:rsid w:val="00EA60DB"/>
    <w:rsid w:val="00EA64E4"/>
    <w:rsid w:val="00EA6879"/>
    <w:rsid w:val="00EA6E63"/>
    <w:rsid w:val="00EA7628"/>
    <w:rsid w:val="00EA7EA5"/>
    <w:rsid w:val="00EA7FF9"/>
    <w:rsid w:val="00EB12DD"/>
    <w:rsid w:val="00EB287F"/>
    <w:rsid w:val="00EB2EE6"/>
    <w:rsid w:val="00EB3355"/>
    <w:rsid w:val="00EB5F3A"/>
    <w:rsid w:val="00EC60E0"/>
    <w:rsid w:val="00ED0820"/>
    <w:rsid w:val="00ED09B8"/>
    <w:rsid w:val="00ED0D33"/>
    <w:rsid w:val="00ED1606"/>
    <w:rsid w:val="00ED30D3"/>
    <w:rsid w:val="00ED41EF"/>
    <w:rsid w:val="00ED4385"/>
    <w:rsid w:val="00ED572A"/>
    <w:rsid w:val="00EE032F"/>
    <w:rsid w:val="00EE134C"/>
    <w:rsid w:val="00EE28F6"/>
    <w:rsid w:val="00EE3560"/>
    <w:rsid w:val="00EE3662"/>
    <w:rsid w:val="00EE4F76"/>
    <w:rsid w:val="00EE5E09"/>
    <w:rsid w:val="00EE6283"/>
    <w:rsid w:val="00EE6914"/>
    <w:rsid w:val="00EF3B83"/>
    <w:rsid w:val="00EF3D0B"/>
    <w:rsid w:val="00EF4169"/>
    <w:rsid w:val="00EF439F"/>
    <w:rsid w:val="00EF43D9"/>
    <w:rsid w:val="00EF4B81"/>
    <w:rsid w:val="00EF6570"/>
    <w:rsid w:val="00F00C97"/>
    <w:rsid w:val="00F03D2E"/>
    <w:rsid w:val="00F04630"/>
    <w:rsid w:val="00F04CB2"/>
    <w:rsid w:val="00F068EA"/>
    <w:rsid w:val="00F06CA0"/>
    <w:rsid w:val="00F06E1C"/>
    <w:rsid w:val="00F071EF"/>
    <w:rsid w:val="00F0729C"/>
    <w:rsid w:val="00F0740B"/>
    <w:rsid w:val="00F103A4"/>
    <w:rsid w:val="00F10BAA"/>
    <w:rsid w:val="00F12263"/>
    <w:rsid w:val="00F125E4"/>
    <w:rsid w:val="00F12D4F"/>
    <w:rsid w:val="00F158C8"/>
    <w:rsid w:val="00F16121"/>
    <w:rsid w:val="00F1670D"/>
    <w:rsid w:val="00F21FC3"/>
    <w:rsid w:val="00F22D64"/>
    <w:rsid w:val="00F24409"/>
    <w:rsid w:val="00F25C96"/>
    <w:rsid w:val="00F27F3A"/>
    <w:rsid w:val="00F304A6"/>
    <w:rsid w:val="00F3050B"/>
    <w:rsid w:val="00F3169B"/>
    <w:rsid w:val="00F31A33"/>
    <w:rsid w:val="00F31C0C"/>
    <w:rsid w:val="00F33B16"/>
    <w:rsid w:val="00F37ABC"/>
    <w:rsid w:val="00F40C0C"/>
    <w:rsid w:val="00F45F9F"/>
    <w:rsid w:val="00F4720B"/>
    <w:rsid w:val="00F47C62"/>
    <w:rsid w:val="00F54525"/>
    <w:rsid w:val="00F57359"/>
    <w:rsid w:val="00F611EB"/>
    <w:rsid w:val="00F63310"/>
    <w:rsid w:val="00F701FA"/>
    <w:rsid w:val="00F720AB"/>
    <w:rsid w:val="00F72B74"/>
    <w:rsid w:val="00F733C9"/>
    <w:rsid w:val="00F73EA3"/>
    <w:rsid w:val="00F7678C"/>
    <w:rsid w:val="00F81685"/>
    <w:rsid w:val="00F818D7"/>
    <w:rsid w:val="00F83991"/>
    <w:rsid w:val="00F84469"/>
    <w:rsid w:val="00F8465B"/>
    <w:rsid w:val="00F862BB"/>
    <w:rsid w:val="00F86800"/>
    <w:rsid w:val="00F874EF"/>
    <w:rsid w:val="00F87E77"/>
    <w:rsid w:val="00F90054"/>
    <w:rsid w:val="00F90C0F"/>
    <w:rsid w:val="00F91253"/>
    <w:rsid w:val="00F93A41"/>
    <w:rsid w:val="00F93E24"/>
    <w:rsid w:val="00F93E7F"/>
    <w:rsid w:val="00F957BE"/>
    <w:rsid w:val="00F965C7"/>
    <w:rsid w:val="00FA0EE1"/>
    <w:rsid w:val="00FA12CF"/>
    <w:rsid w:val="00FA2613"/>
    <w:rsid w:val="00FA2899"/>
    <w:rsid w:val="00FA28F7"/>
    <w:rsid w:val="00FA397B"/>
    <w:rsid w:val="00FA3A74"/>
    <w:rsid w:val="00FA4025"/>
    <w:rsid w:val="00FA4FFF"/>
    <w:rsid w:val="00FA5A70"/>
    <w:rsid w:val="00FA61BC"/>
    <w:rsid w:val="00FB2295"/>
    <w:rsid w:val="00FB6DD7"/>
    <w:rsid w:val="00FB7C6E"/>
    <w:rsid w:val="00FC0625"/>
    <w:rsid w:val="00FC0C22"/>
    <w:rsid w:val="00FC1420"/>
    <w:rsid w:val="00FC33FD"/>
    <w:rsid w:val="00FC4C98"/>
    <w:rsid w:val="00FC5709"/>
    <w:rsid w:val="00FC5F91"/>
    <w:rsid w:val="00FC7392"/>
    <w:rsid w:val="00FC765A"/>
    <w:rsid w:val="00FC7E75"/>
    <w:rsid w:val="00FD5390"/>
    <w:rsid w:val="00FD6BDA"/>
    <w:rsid w:val="00FE0762"/>
    <w:rsid w:val="00FE29C3"/>
    <w:rsid w:val="00FE2B3C"/>
    <w:rsid w:val="00FE2C02"/>
    <w:rsid w:val="00FE4A44"/>
    <w:rsid w:val="00FE4DFF"/>
    <w:rsid w:val="00FE5311"/>
    <w:rsid w:val="00FE556D"/>
    <w:rsid w:val="00FE56D6"/>
    <w:rsid w:val="00FE6240"/>
    <w:rsid w:val="00FF25E4"/>
    <w:rsid w:val="00FF531B"/>
    <w:rsid w:val="00FF5B10"/>
    <w:rsid w:val="00FF62A7"/>
    <w:rsid w:val="012CF1FF"/>
    <w:rsid w:val="02DFF156"/>
    <w:rsid w:val="03490A5C"/>
    <w:rsid w:val="04D51C9C"/>
    <w:rsid w:val="0529D3BE"/>
    <w:rsid w:val="0559C784"/>
    <w:rsid w:val="058003A7"/>
    <w:rsid w:val="0588A98A"/>
    <w:rsid w:val="05CB3426"/>
    <w:rsid w:val="0621A547"/>
    <w:rsid w:val="0632B3EE"/>
    <w:rsid w:val="06CAFEBF"/>
    <w:rsid w:val="07396191"/>
    <w:rsid w:val="07721EF9"/>
    <w:rsid w:val="0919CC01"/>
    <w:rsid w:val="09477949"/>
    <w:rsid w:val="0B1B583A"/>
    <w:rsid w:val="0BE01C30"/>
    <w:rsid w:val="0CD283BB"/>
    <w:rsid w:val="0E38BD03"/>
    <w:rsid w:val="0E54249B"/>
    <w:rsid w:val="0E5F3A7F"/>
    <w:rsid w:val="0ED67758"/>
    <w:rsid w:val="0F12C8B0"/>
    <w:rsid w:val="1038DD02"/>
    <w:rsid w:val="115A35A3"/>
    <w:rsid w:val="11826ED1"/>
    <w:rsid w:val="11CA9725"/>
    <w:rsid w:val="12767314"/>
    <w:rsid w:val="12C7754F"/>
    <w:rsid w:val="13C945F7"/>
    <w:rsid w:val="147EC20D"/>
    <w:rsid w:val="14AD4139"/>
    <w:rsid w:val="1503660C"/>
    <w:rsid w:val="1605A120"/>
    <w:rsid w:val="1689DC7C"/>
    <w:rsid w:val="16F1E63B"/>
    <w:rsid w:val="171B512F"/>
    <w:rsid w:val="175BE35B"/>
    <w:rsid w:val="1771697E"/>
    <w:rsid w:val="17C81616"/>
    <w:rsid w:val="17CEBBC2"/>
    <w:rsid w:val="18247AE4"/>
    <w:rsid w:val="18448D28"/>
    <w:rsid w:val="18A9B979"/>
    <w:rsid w:val="18DB654D"/>
    <w:rsid w:val="19456AAD"/>
    <w:rsid w:val="195616B2"/>
    <w:rsid w:val="1BC59CD0"/>
    <w:rsid w:val="1BCC6749"/>
    <w:rsid w:val="1C15FC5E"/>
    <w:rsid w:val="1C95CFBE"/>
    <w:rsid w:val="1CEE4C66"/>
    <w:rsid w:val="1D717206"/>
    <w:rsid w:val="1D812716"/>
    <w:rsid w:val="1DA7E6FB"/>
    <w:rsid w:val="1E93BC68"/>
    <w:rsid w:val="1FCD7080"/>
    <w:rsid w:val="204C0795"/>
    <w:rsid w:val="207E34C2"/>
    <w:rsid w:val="209623D5"/>
    <w:rsid w:val="20AD4FBB"/>
    <w:rsid w:val="2121EAEB"/>
    <w:rsid w:val="216940E1"/>
    <w:rsid w:val="216FCE32"/>
    <w:rsid w:val="220220B8"/>
    <w:rsid w:val="2327DC3D"/>
    <w:rsid w:val="237A7CEF"/>
    <w:rsid w:val="23DF0D1F"/>
    <w:rsid w:val="240EF28D"/>
    <w:rsid w:val="240FE885"/>
    <w:rsid w:val="24AE86A4"/>
    <w:rsid w:val="2799694C"/>
    <w:rsid w:val="27E62766"/>
    <w:rsid w:val="287C7327"/>
    <w:rsid w:val="28858EA1"/>
    <w:rsid w:val="28FB7223"/>
    <w:rsid w:val="29301EDF"/>
    <w:rsid w:val="2B1DC828"/>
    <w:rsid w:val="2BA12CA6"/>
    <w:rsid w:val="2BE417A0"/>
    <w:rsid w:val="2D652734"/>
    <w:rsid w:val="2D81D0CD"/>
    <w:rsid w:val="2DFEDBB1"/>
    <w:rsid w:val="2E3C408D"/>
    <w:rsid w:val="2EB1CDB8"/>
    <w:rsid w:val="2F78F8C6"/>
    <w:rsid w:val="2FEC4B1E"/>
    <w:rsid w:val="331F7E26"/>
    <w:rsid w:val="339867C1"/>
    <w:rsid w:val="3436401E"/>
    <w:rsid w:val="34DEA0CE"/>
    <w:rsid w:val="3504F20E"/>
    <w:rsid w:val="35AAC860"/>
    <w:rsid w:val="36A5D8D2"/>
    <w:rsid w:val="37BDA163"/>
    <w:rsid w:val="3867B5AE"/>
    <w:rsid w:val="38A849F9"/>
    <w:rsid w:val="38E41B44"/>
    <w:rsid w:val="39744197"/>
    <w:rsid w:val="39D62C15"/>
    <w:rsid w:val="3AD297BC"/>
    <w:rsid w:val="3AFFED31"/>
    <w:rsid w:val="3B5AB837"/>
    <w:rsid w:val="3B772863"/>
    <w:rsid w:val="3BB3FFDC"/>
    <w:rsid w:val="3BB6B0E8"/>
    <w:rsid w:val="3CB3CC52"/>
    <w:rsid w:val="3DC1E01C"/>
    <w:rsid w:val="3E18A41A"/>
    <w:rsid w:val="3E18EEE5"/>
    <w:rsid w:val="3EC6B6B8"/>
    <w:rsid w:val="3ED9637E"/>
    <w:rsid w:val="3EF526FB"/>
    <w:rsid w:val="3F2A2AB2"/>
    <w:rsid w:val="4059A93C"/>
    <w:rsid w:val="415ADD22"/>
    <w:rsid w:val="41D7274E"/>
    <w:rsid w:val="4242AC6A"/>
    <w:rsid w:val="431BE51E"/>
    <w:rsid w:val="43752958"/>
    <w:rsid w:val="44AC45EA"/>
    <w:rsid w:val="44CE9808"/>
    <w:rsid w:val="451AB12D"/>
    <w:rsid w:val="454975F1"/>
    <w:rsid w:val="45EBFD77"/>
    <w:rsid w:val="46198851"/>
    <w:rsid w:val="461D700D"/>
    <w:rsid w:val="467CECF5"/>
    <w:rsid w:val="4692A12A"/>
    <w:rsid w:val="4711524F"/>
    <w:rsid w:val="474B81B4"/>
    <w:rsid w:val="47534964"/>
    <w:rsid w:val="48965CF8"/>
    <w:rsid w:val="48CAE25E"/>
    <w:rsid w:val="4944F272"/>
    <w:rsid w:val="4A70745B"/>
    <w:rsid w:val="4A73B9F7"/>
    <w:rsid w:val="4B11CBB0"/>
    <w:rsid w:val="4B67340F"/>
    <w:rsid w:val="4BA3E410"/>
    <w:rsid w:val="4BE478C0"/>
    <w:rsid w:val="4C0FB03E"/>
    <w:rsid w:val="4D3D8164"/>
    <w:rsid w:val="4D804921"/>
    <w:rsid w:val="4DA75256"/>
    <w:rsid w:val="4E202B96"/>
    <w:rsid w:val="4EACE71B"/>
    <w:rsid w:val="4EEC761F"/>
    <w:rsid w:val="501E644A"/>
    <w:rsid w:val="5030E285"/>
    <w:rsid w:val="5059650D"/>
    <w:rsid w:val="50B1845C"/>
    <w:rsid w:val="5120AF51"/>
    <w:rsid w:val="52E968CD"/>
    <w:rsid w:val="52FB0214"/>
    <w:rsid w:val="53B0356F"/>
    <w:rsid w:val="53B862E4"/>
    <w:rsid w:val="53D54A48"/>
    <w:rsid w:val="5408C415"/>
    <w:rsid w:val="54A015D9"/>
    <w:rsid w:val="55A61216"/>
    <w:rsid w:val="55B1EB0D"/>
    <w:rsid w:val="55E04CF0"/>
    <w:rsid w:val="561F42F7"/>
    <w:rsid w:val="56729DCD"/>
    <w:rsid w:val="5673A0F3"/>
    <w:rsid w:val="56EF0401"/>
    <w:rsid w:val="57FEBC70"/>
    <w:rsid w:val="58AED30F"/>
    <w:rsid w:val="5929D690"/>
    <w:rsid w:val="59413DDE"/>
    <w:rsid w:val="5941AF89"/>
    <w:rsid w:val="5A0EF69A"/>
    <w:rsid w:val="5A2F0188"/>
    <w:rsid w:val="5AC3E5E2"/>
    <w:rsid w:val="5AE99849"/>
    <w:rsid w:val="5BC2B132"/>
    <w:rsid w:val="5BF698ED"/>
    <w:rsid w:val="5C9354F4"/>
    <w:rsid w:val="5D57391B"/>
    <w:rsid w:val="5EB4A4FD"/>
    <w:rsid w:val="5F1D948D"/>
    <w:rsid w:val="5FE66EEC"/>
    <w:rsid w:val="5FFD8019"/>
    <w:rsid w:val="60D1CA4D"/>
    <w:rsid w:val="60F8981F"/>
    <w:rsid w:val="61148D9B"/>
    <w:rsid w:val="61996B97"/>
    <w:rsid w:val="61EE1064"/>
    <w:rsid w:val="625FBE76"/>
    <w:rsid w:val="63121FD8"/>
    <w:rsid w:val="63A150CA"/>
    <w:rsid w:val="63C4BABF"/>
    <w:rsid w:val="64095203"/>
    <w:rsid w:val="644C2E5D"/>
    <w:rsid w:val="6482F70B"/>
    <w:rsid w:val="64CF7E85"/>
    <w:rsid w:val="650AB91E"/>
    <w:rsid w:val="656E4BE6"/>
    <w:rsid w:val="65CB875E"/>
    <w:rsid w:val="67B6C511"/>
    <w:rsid w:val="69147950"/>
    <w:rsid w:val="692331FD"/>
    <w:rsid w:val="69385543"/>
    <w:rsid w:val="6A9171A7"/>
    <w:rsid w:val="6ABF7C69"/>
    <w:rsid w:val="6ACE85B9"/>
    <w:rsid w:val="6B2AA85A"/>
    <w:rsid w:val="6C819674"/>
    <w:rsid w:val="6CAE624F"/>
    <w:rsid w:val="6CFCDE8F"/>
    <w:rsid w:val="6D1AE225"/>
    <w:rsid w:val="6D992953"/>
    <w:rsid w:val="6EC73508"/>
    <w:rsid w:val="6F270236"/>
    <w:rsid w:val="700C9F23"/>
    <w:rsid w:val="701274F3"/>
    <w:rsid w:val="7068754A"/>
    <w:rsid w:val="70B23F60"/>
    <w:rsid w:val="713DC7D4"/>
    <w:rsid w:val="716A74C3"/>
    <w:rsid w:val="71C76DB1"/>
    <w:rsid w:val="720F1541"/>
    <w:rsid w:val="725E8C2E"/>
    <w:rsid w:val="73C5EFEA"/>
    <w:rsid w:val="7450A4E5"/>
    <w:rsid w:val="74572B92"/>
    <w:rsid w:val="749EC564"/>
    <w:rsid w:val="74B331B0"/>
    <w:rsid w:val="765338FB"/>
    <w:rsid w:val="7662E77D"/>
    <w:rsid w:val="76D7D19F"/>
    <w:rsid w:val="77050585"/>
    <w:rsid w:val="77FB90E9"/>
    <w:rsid w:val="781C16EC"/>
    <w:rsid w:val="78AAF549"/>
    <w:rsid w:val="78E789CC"/>
    <w:rsid w:val="7AB80D22"/>
    <w:rsid w:val="7ADF28A4"/>
    <w:rsid w:val="7B8C8FB3"/>
    <w:rsid w:val="7BAC2E41"/>
    <w:rsid w:val="7C8D7CD5"/>
    <w:rsid w:val="7CEFF00C"/>
    <w:rsid w:val="7D796730"/>
    <w:rsid w:val="7E0AF7B8"/>
    <w:rsid w:val="7E537593"/>
    <w:rsid w:val="7E680061"/>
    <w:rsid w:val="7EB73E3A"/>
    <w:rsid w:val="7EF235A9"/>
    <w:rsid w:val="7FADFBAB"/>
    <w:rsid w:val="7FD11BC5"/>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1F714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273B"/>
    <w:rPr>
      <w:color w:val="0000FF"/>
      <w:u w:val="single"/>
    </w:rPr>
  </w:style>
  <w:style w:type="paragraph" w:styleId="BalloonText">
    <w:name w:val="Balloon Text"/>
    <w:basedOn w:val="Normal"/>
    <w:semiHidden/>
    <w:rsid w:val="00764907"/>
    <w:rPr>
      <w:rFonts w:ascii="Tahoma" w:hAnsi="Tahoma" w:cs="Tahoma"/>
      <w:sz w:val="16"/>
      <w:szCs w:val="16"/>
    </w:rPr>
  </w:style>
  <w:style w:type="paragraph" w:styleId="Revision">
    <w:name w:val="Revision"/>
    <w:hidden/>
    <w:uiPriority w:val="99"/>
    <w:semiHidden/>
    <w:rsid w:val="00A40E0A"/>
    <w:rPr>
      <w:sz w:val="24"/>
      <w:szCs w:val="24"/>
      <w:lang w:val="en-GB" w:eastAsia="en-GB"/>
    </w:rPr>
  </w:style>
  <w:style w:type="character" w:styleId="FollowedHyperlink">
    <w:name w:val="FollowedHyperlink"/>
    <w:rsid w:val="00EA64E4"/>
    <w:rPr>
      <w:color w:val="800080"/>
      <w:u w:val="single"/>
    </w:rPr>
  </w:style>
  <w:style w:type="character" w:styleId="CommentReference">
    <w:name w:val="annotation reference"/>
    <w:rsid w:val="00744E46"/>
    <w:rPr>
      <w:sz w:val="16"/>
      <w:szCs w:val="16"/>
    </w:rPr>
  </w:style>
  <w:style w:type="paragraph" w:styleId="CommentText">
    <w:name w:val="annotation text"/>
    <w:basedOn w:val="Normal"/>
    <w:link w:val="CommentTextChar"/>
    <w:rsid w:val="00744E46"/>
    <w:rPr>
      <w:sz w:val="20"/>
      <w:szCs w:val="20"/>
    </w:rPr>
  </w:style>
  <w:style w:type="character" w:customStyle="1" w:styleId="CommentTextChar">
    <w:name w:val="Comment Text Char"/>
    <w:basedOn w:val="DefaultParagraphFont"/>
    <w:link w:val="CommentText"/>
    <w:rsid w:val="00744E46"/>
  </w:style>
  <w:style w:type="paragraph" w:styleId="CommentSubject">
    <w:name w:val="annotation subject"/>
    <w:basedOn w:val="CommentText"/>
    <w:next w:val="CommentText"/>
    <w:link w:val="CommentSubjectChar"/>
    <w:rsid w:val="00744E46"/>
    <w:rPr>
      <w:b/>
      <w:bCs/>
    </w:rPr>
  </w:style>
  <w:style w:type="character" w:customStyle="1" w:styleId="CommentSubjectChar">
    <w:name w:val="Comment Subject Char"/>
    <w:link w:val="CommentSubject"/>
    <w:rsid w:val="00744E46"/>
    <w:rPr>
      <w:b/>
      <w:bCs/>
    </w:rPr>
  </w:style>
  <w:style w:type="paragraph" w:customStyle="1" w:styleId="ZCom">
    <w:name w:val="Z_Com"/>
    <w:basedOn w:val="Normal"/>
    <w:next w:val="ZDGName"/>
    <w:uiPriority w:val="99"/>
    <w:rsid w:val="006942DC"/>
    <w:pPr>
      <w:widowControl w:val="0"/>
      <w:autoSpaceDE w:val="0"/>
      <w:autoSpaceDN w:val="0"/>
      <w:ind w:right="85"/>
      <w:jc w:val="both"/>
    </w:pPr>
    <w:rPr>
      <w:rFonts w:ascii="Arial" w:hAnsi="Arial" w:cs="Arial"/>
    </w:rPr>
  </w:style>
  <w:style w:type="paragraph" w:customStyle="1" w:styleId="ZDGName">
    <w:name w:val="Z_DGName"/>
    <w:basedOn w:val="Normal"/>
    <w:uiPriority w:val="99"/>
    <w:rsid w:val="006942DC"/>
    <w:pPr>
      <w:widowControl w:val="0"/>
      <w:autoSpaceDE w:val="0"/>
      <w:autoSpaceDN w:val="0"/>
      <w:ind w:right="85"/>
    </w:pPr>
    <w:rPr>
      <w:rFonts w:ascii="Arial" w:hAnsi="Arial" w:cs="Arial"/>
      <w:sz w:val="16"/>
      <w:szCs w:val="16"/>
    </w:rPr>
  </w:style>
  <w:style w:type="table" w:styleId="TableGrid">
    <w:name w:val="Table Grid"/>
    <w:basedOn w:val="TableNormal"/>
    <w:rsid w:val="00CB4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Schriftart: 9 pt Char,Schriftart: 10 pt Char,Schriftart: 8 pt Char,WB-Fußnotentext Char,Footnote Text Char Char Char Char Char1,Footnote Text Char Char Char,Footnote Text Char Char Char Char Char Char,Footnote text Char,Char Char"/>
    <w:basedOn w:val="DefaultParagraphFont"/>
    <w:link w:val="FootnoteText"/>
    <w:locked/>
    <w:rsid w:val="004D73A4"/>
  </w:style>
  <w:style w:type="paragraph" w:styleId="FootnoteText">
    <w:name w:val="footnote text"/>
    <w:aliases w:val="Schriftart: 9 pt,Schriftart: 10 pt,Schriftart: 8 pt,WB-Fußnotentext,Footnote Text Char Char Char Char,Footnote Text Char Char,Footnote Text Char Char Char Char Char,Footnote Text Char Char Char Char Char Char Char Char,Footnote text,Char"/>
    <w:basedOn w:val="Normal"/>
    <w:link w:val="FootnoteTextChar"/>
    <w:unhideWhenUsed/>
    <w:rsid w:val="004D73A4"/>
    <w:pPr>
      <w:spacing w:before="100" w:beforeAutospacing="1" w:after="100" w:afterAutospacing="1"/>
      <w:ind w:left="357" w:hanging="357"/>
      <w:jc w:val="both"/>
    </w:pPr>
    <w:rPr>
      <w:sz w:val="20"/>
      <w:szCs w:val="20"/>
      <w:lang w:val="en-IE" w:eastAsia="en-IE"/>
    </w:rPr>
  </w:style>
  <w:style w:type="character" w:customStyle="1" w:styleId="FootnoteTextChar1">
    <w:name w:val="Footnote Text Char1"/>
    <w:rsid w:val="004D73A4"/>
    <w:rPr>
      <w:lang w:val="en-GB" w:eastAsia="en-GB"/>
    </w:rPr>
  </w:style>
  <w:style w:type="paragraph" w:styleId="ListParagraph">
    <w:name w:val="List Paragraph"/>
    <w:basedOn w:val="Normal"/>
    <w:uiPriority w:val="34"/>
    <w:qFormat/>
    <w:rsid w:val="004D73A4"/>
    <w:pPr>
      <w:spacing w:after="160" w:line="252" w:lineRule="auto"/>
      <w:ind w:left="720"/>
      <w:contextualSpacing/>
      <w:jc w:val="both"/>
    </w:pPr>
    <w:rPr>
      <w:rFonts w:ascii="Calibri" w:hAnsi="Calibri"/>
      <w:sz w:val="22"/>
      <w:szCs w:val="22"/>
      <w:lang w:eastAsia="en-US"/>
    </w:rPr>
  </w:style>
  <w:style w:type="character" w:styleId="FootnoteReference">
    <w:name w:val="footnote reference"/>
    <w:aliases w:val="Footnote symbol,Footnote reference number,note TESI,BVI fnr,Appel note de bas de p,Nota,SUPERS,Footnote number,Footnote Reference Superscript,EN Footnote Reference,-E Fußnotenzeichen,number Char Char,number,Ref,styl,styli,de nota al p"/>
    <w:link w:val="FootnotesymbolCarZchn"/>
    <w:unhideWhenUsed/>
    <w:qFormat/>
    <w:rsid w:val="004D73A4"/>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4D73A4"/>
    <w:pPr>
      <w:spacing w:after="160" w:line="240" w:lineRule="exact"/>
      <w:jc w:val="both"/>
    </w:pPr>
    <w:rPr>
      <w:sz w:val="20"/>
      <w:szCs w:val="20"/>
      <w:vertAlign w:val="superscript"/>
      <w:lang w:val="en-IE" w:eastAsia="en-IE"/>
    </w:rPr>
  </w:style>
  <w:style w:type="paragraph" w:styleId="Caption">
    <w:name w:val="caption"/>
    <w:basedOn w:val="Normal"/>
    <w:next w:val="Normal"/>
    <w:uiPriority w:val="35"/>
    <w:unhideWhenUsed/>
    <w:qFormat/>
    <w:rsid w:val="004D73A4"/>
    <w:pPr>
      <w:spacing w:after="160" w:line="252" w:lineRule="auto"/>
      <w:jc w:val="both"/>
    </w:pPr>
    <w:rPr>
      <w:rFonts w:ascii="Calibri" w:hAnsi="Calibri"/>
      <w:b/>
      <w:bCs/>
      <w:sz w:val="18"/>
      <w:szCs w:val="18"/>
      <w:lang w:eastAsia="en-US"/>
    </w:rPr>
  </w:style>
  <w:style w:type="character" w:styleId="UnresolvedMention">
    <w:name w:val="Unresolved Mention"/>
    <w:uiPriority w:val="99"/>
    <w:semiHidden/>
    <w:unhideWhenUsed/>
    <w:rsid w:val="00BE279C"/>
    <w:rPr>
      <w:color w:val="605E5C"/>
      <w:shd w:val="clear" w:color="auto" w:fill="E1DFDD"/>
    </w:rPr>
  </w:style>
  <w:style w:type="paragraph" w:styleId="Header">
    <w:name w:val="header"/>
    <w:basedOn w:val="Normal"/>
    <w:link w:val="HeaderChar"/>
    <w:rsid w:val="006E7512"/>
    <w:pPr>
      <w:tabs>
        <w:tab w:val="center" w:pos="4513"/>
        <w:tab w:val="right" w:pos="9026"/>
      </w:tabs>
    </w:pPr>
  </w:style>
  <w:style w:type="character" w:customStyle="1" w:styleId="HeaderChar">
    <w:name w:val="Header Char"/>
    <w:link w:val="Header"/>
    <w:rsid w:val="006E7512"/>
    <w:rPr>
      <w:sz w:val="24"/>
      <w:szCs w:val="24"/>
      <w:lang w:val="en-GB" w:eastAsia="en-GB"/>
    </w:rPr>
  </w:style>
  <w:style w:type="paragraph" w:styleId="Footer">
    <w:name w:val="footer"/>
    <w:basedOn w:val="Normal"/>
    <w:link w:val="FooterChar"/>
    <w:rsid w:val="006E7512"/>
    <w:pPr>
      <w:tabs>
        <w:tab w:val="center" w:pos="4513"/>
        <w:tab w:val="right" w:pos="9026"/>
      </w:tabs>
    </w:pPr>
  </w:style>
  <w:style w:type="character" w:customStyle="1" w:styleId="FooterChar">
    <w:name w:val="Footer Char"/>
    <w:link w:val="Footer"/>
    <w:rsid w:val="006E7512"/>
    <w:rPr>
      <w:sz w:val="24"/>
      <w:szCs w:val="24"/>
      <w:lang w:val="en-GB" w:eastAsia="en-GB"/>
    </w:rPr>
  </w:style>
  <w:style w:type="character" w:styleId="Mention">
    <w:name w:val="Mention"/>
    <w:uiPriority w:val="99"/>
    <w:unhideWhenUsed/>
    <w:rsid w:val="00355A1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2933">
      <w:bodyDiv w:val="1"/>
      <w:marLeft w:val="0"/>
      <w:marRight w:val="0"/>
      <w:marTop w:val="0"/>
      <w:marBottom w:val="0"/>
      <w:divBdr>
        <w:top w:val="none" w:sz="0" w:space="0" w:color="auto"/>
        <w:left w:val="none" w:sz="0" w:space="0" w:color="auto"/>
        <w:bottom w:val="none" w:sz="0" w:space="0" w:color="auto"/>
        <w:right w:val="none" w:sz="0" w:space="0" w:color="auto"/>
      </w:divBdr>
    </w:div>
    <w:div w:id="223641137">
      <w:bodyDiv w:val="1"/>
      <w:marLeft w:val="0"/>
      <w:marRight w:val="0"/>
      <w:marTop w:val="0"/>
      <w:marBottom w:val="0"/>
      <w:divBdr>
        <w:top w:val="none" w:sz="0" w:space="0" w:color="auto"/>
        <w:left w:val="none" w:sz="0" w:space="0" w:color="auto"/>
        <w:bottom w:val="none" w:sz="0" w:space="0" w:color="auto"/>
        <w:right w:val="none" w:sz="0" w:space="0" w:color="auto"/>
      </w:divBdr>
    </w:div>
    <w:div w:id="258871266">
      <w:bodyDiv w:val="1"/>
      <w:marLeft w:val="0"/>
      <w:marRight w:val="0"/>
      <w:marTop w:val="0"/>
      <w:marBottom w:val="0"/>
      <w:divBdr>
        <w:top w:val="none" w:sz="0" w:space="0" w:color="auto"/>
        <w:left w:val="none" w:sz="0" w:space="0" w:color="auto"/>
        <w:bottom w:val="none" w:sz="0" w:space="0" w:color="auto"/>
        <w:right w:val="none" w:sz="0" w:space="0" w:color="auto"/>
      </w:divBdr>
    </w:div>
    <w:div w:id="334385543">
      <w:bodyDiv w:val="1"/>
      <w:marLeft w:val="0"/>
      <w:marRight w:val="0"/>
      <w:marTop w:val="0"/>
      <w:marBottom w:val="0"/>
      <w:divBdr>
        <w:top w:val="none" w:sz="0" w:space="0" w:color="auto"/>
        <w:left w:val="none" w:sz="0" w:space="0" w:color="auto"/>
        <w:bottom w:val="none" w:sz="0" w:space="0" w:color="auto"/>
        <w:right w:val="none" w:sz="0" w:space="0" w:color="auto"/>
      </w:divBdr>
    </w:div>
    <w:div w:id="337971365">
      <w:bodyDiv w:val="1"/>
      <w:marLeft w:val="0"/>
      <w:marRight w:val="0"/>
      <w:marTop w:val="0"/>
      <w:marBottom w:val="0"/>
      <w:divBdr>
        <w:top w:val="none" w:sz="0" w:space="0" w:color="auto"/>
        <w:left w:val="none" w:sz="0" w:space="0" w:color="auto"/>
        <w:bottom w:val="none" w:sz="0" w:space="0" w:color="auto"/>
        <w:right w:val="none" w:sz="0" w:space="0" w:color="auto"/>
      </w:divBdr>
    </w:div>
    <w:div w:id="431778150">
      <w:bodyDiv w:val="1"/>
      <w:marLeft w:val="0"/>
      <w:marRight w:val="0"/>
      <w:marTop w:val="0"/>
      <w:marBottom w:val="0"/>
      <w:divBdr>
        <w:top w:val="none" w:sz="0" w:space="0" w:color="auto"/>
        <w:left w:val="none" w:sz="0" w:space="0" w:color="auto"/>
        <w:bottom w:val="none" w:sz="0" w:space="0" w:color="auto"/>
        <w:right w:val="none" w:sz="0" w:space="0" w:color="auto"/>
      </w:divBdr>
    </w:div>
    <w:div w:id="485366657">
      <w:bodyDiv w:val="1"/>
      <w:marLeft w:val="0"/>
      <w:marRight w:val="0"/>
      <w:marTop w:val="0"/>
      <w:marBottom w:val="0"/>
      <w:divBdr>
        <w:top w:val="none" w:sz="0" w:space="0" w:color="auto"/>
        <w:left w:val="none" w:sz="0" w:space="0" w:color="auto"/>
        <w:bottom w:val="none" w:sz="0" w:space="0" w:color="auto"/>
        <w:right w:val="none" w:sz="0" w:space="0" w:color="auto"/>
      </w:divBdr>
    </w:div>
    <w:div w:id="523906883">
      <w:bodyDiv w:val="1"/>
      <w:marLeft w:val="0"/>
      <w:marRight w:val="0"/>
      <w:marTop w:val="0"/>
      <w:marBottom w:val="0"/>
      <w:divBdr>
        <w:top w:val="none" w:sz="0" w:space="0" w:color="auto"/>
        <w:left w:val="none" w:sz="0" w:space="0" w:color="auto"/>
        <w:bottom w:val="none" w:sz="0" w:space="0" w:color="auto"/>
        <w:right w:val="none" w:sz="0" w:space="0" w:color="auto"/>
      </w:divBdr>
    </w:div>
    <w:div w:id="547035532">
      <w:bodyDiv w:val="1"/>
      <w:marLeft w:val="0"/>
      <w:marRight w:val="0"/>
      <w:marTop w:val="0"/>
      <w:marBottom w:val="0"/>
      <w:divBdr>
        <w:top w:val="none" w:sz="0" w:space="0" w:color="auto"/>
        <w:left w:val="none" w:sz="0" w:space="0" w:color="auto"/>
        <w:bottom w:val="none" w:sz="0" w:space="0" w:color="auto"/>
        <w:right w:val="none" w:sz="0" w:space="0" w:color="auto"/>
      </w:divBdr>
    </w:div>
    <w:div w:id="788352207">
      <w:bodyDiv w:val="1"/>
      <w:marLeft w:val="0"/>
      <w:marRight w:val="0"/>
      <w:marTop w:val="0"/>
      <w:marBottom w:val="0"/>
      <w:divBdr>
        <w:top w:val="none" w:sz="0" w:space="0" w:color="auto"/>
        <w:left w:val="none" w:sz="0" w:space="0" w:color="auto"/>
        <w:bottom w:val="none" w:sz="0" w:space="0" w:color="auto"/>
        <w:right w:val="none" w:sz="0" w:space="0" w:color="auto"/>
      </w:divBdr>
    </w:div>
    <w:div w:id="890962663">
      <w:bodyDiv w:val="1"/>
      <w:marLeft w:val="0"/>
      <w:marRight w:val="0"/>
      <w:marTop w:val="0"/>
      <w:marBottom w:val="0"/>
      <w:divBdr>
        <w:top w:val="none" w:sz="0" w:space="0" w:color="auto"/>
        <w:left w:val="none" w:sz="0" w:space="0" w:color="auto"/>
        <w:bottom w:val="none" w:sz="0" w:space="0" w:color="auto"/>
        <w:right w:val="none" w:sz="0" w:space="0" w:color="auto"/>
      </w:divBdr>
    </w:div>
    <w:div w:id="955334392">
      <w:bodyDiv w:val="1"/>
      <w:marLeft w:val="0"/>
      <w:marRight w:val="0"/>
      <w:marTop w:val="0"/>
      <w:marBottom w:val="0"/>
      <w:divBdr>
        <w:top w:val="none" w:sz="0" w:space="0" w:color="auto"/>
        <w:left w:val="none" w:sz="0" w:space="0" w:color="auto"/>
        <w:bottom w:val="none" w:sz="0" w:space="0" w:color="auto"/>
        <w:right w:val="none" w:sz="0" w:space="0" w:color="auto"/>
      </w:divBdr>
    </w:div>
    <w:div w:id="1067458132">
      <w:bodyDiv w:val="1"/>
      <w:marLeft w:val="0"/>
      <w:marRight w:val="0"/>
      <w:marTop w:val="0"/>
      <w:marBottom w:val="0"/>
      <w:divBdr>
        <w:top w:val="none" w:sz="0" w:space="0" w:color="auto"/>
        <w:left w:val="none" w:sz="0" w:space="0" w:color="auto"/>
        <w:bottom w:val="none" w:sz="0" w:space="0" w:color="auto"/>
        <w:right w:val="none" w:sz="0" w:space="0" w:color="auto"/>
      </w:divBdr>
    </w:div>
    <w:div w:id="1251307646">
      <w:bodyDiv w:val="1"/>
      <w:marLeft w:val="0"/>
      <w:marRight w:val="0"/>
      <w:marTop w:val="0"/>
      <w:marBottom w:val="0"/>
      <w:divBdr>
        <w:top w:val="none" w:sz="0" w:space="0" w:color="auto"/>
        <w:left w:val="none" w:sz="0" w:space="0" w:color="auto"/>
        <w:bottom w:val="none" w:sz="0" w:space="0" w:color="auto"/>
        <w:right w:val="none" w:sz="0" w:space="0" w:color="auto"/>
      </w:divBdr>
    </w:div>
    <w:div w:id="1316685374">
      <w:bodyDiv w:val="1"/>
      <w:marLeft w:val="0"/>
      <w:marRight w:val="0"/>
      <w:marTop w:val="0"/>
      <w:marBottom w:val="0"/>
      <w:divBdr>
        <w:top w:val="none" w:sz="0" w:space="0" w:color="auto"/>
        <w:left w:val="none" w:sz="0" w:space="0" w:color="auto"/>
        <w:bottom w:val="none" w:sz="0" w:space="0" w:color="auto"/>
        <w:right w:val="none" w:sz="0" w:space="0" w:color="auto"/>
      </w:divBdr>
    </w:div>
    <w:div w:id="1490171469">
      <w:bodyDiv w:val="1"/>
      <w:marLeft w:val="0"/>
      <w:marRight w:val="0"/>
      <w:marTop w:val="0"/>
      <w:marBottom w:val="0"/>
      <w:divBdr>
        <w:top w:val="none" w:sz="0" w:space="0" w:color="auto"/>
        <w:left w:val="none" w:sz="0" w:space="0" w:color="auto"/>
        <w:bottom w:val="none" w:sz="0" w:space="0" w:color="auto"/>
        <w:right w:val="none" w:sz="0" w:space="0" w:color="auto"/>
      </w:divBdr>
    </w:div>
    <w:div w:id="1518038943">
      <w:bodyDiv w:val="1"/>
      <w:marLeft w:val="0"/>
      <w:marRight w:val="0"/>
      <w:marTop w:val="0"/>
      <w:marBottom w:val="0"/>
      <w:divBdr>
        <w:top w:val="none" w:sz="0" w:space="0" w:color="auto"/>
        <w:left w:val="none" w:sz="0" w:space="0" w:color="auto"/>
        <w:bottom w:val="none" w:sz="0" w:space="0" w:color="auto"/>
        <w:right w:val="none" w:sz="0" w:space="0" w:color="auto"/>
      </w:divBdr>
    </w:div>
    <w:div w:id="1531336157">
      <w:bodyDiv w:val="1"/>
      <w:marLeft w:val="0"/>
      <w:marRight w:val="0"/>
      <w:marTop w:val="0"/>
      <w:marBottom w:val="0"/>
      <w:divBdr>
        <w:top w:val="none" w:sz="0" w:space="0" w:color="auto"/>
        <w:left w:val="none" w:sz="0" w:space="0" w:color="auto"/>
        <w:bottom w:val="none" w:sz="0" w:space="0" w:color="auto"/>
        <w:right w:val="none" w:sz="0" w:space="0" w:color="auto"/>
      </w:divBdr>
    </w:div>
    <w:div w:id="1584532716">
      <w:bodyDiv w:val="1"/>
      <w:marLeft w:val="0"/>
      <w:marRight w:val="0"/>
      <w:marTop w:val="0"/>
      <w:marBottom w:val="0"/>
      <w:divBdr>
        <w:top w:val="none" w:sz="0" w:space="0" w:color="auto"/>
        <w:left w:val="none" w:sz="0" w:space="0" w:color="auto"/>
        <w:bottom w:val="none" w:sz="0" w:space="0" w:color="auto"/>
        <w:right w:val="none" w:sz="0" w:space="0" w:color="auto"/>
      </w:divBdr>
    </w:div>
    <w:div w:id="1586456736">
      <w:bodyDiv w:val="1"/>
      <w:marLeft w:val="0"/>
      <w:marRight w:val="0"/>
      <w:marTop w:val="0"/>
      <w:marBottom w:val="0"/>
      <w:divBdr>
        <w:top w:val="none" w:sz="0" w:space="0" w:color="auto"/>
        <w:left w:val="none" w:sz="0" w:space="0" w:color="auto"/>
        <w:bottom w:val="none" w:sz="0" w:space="0" w:color="auto"/>
        <w:right w:val="none" w:sz="0" w:space="0" w:color="auto"/>
      </w:divBdr>
    </w:div>
    <w:div w:id="1591542430">
      <w:bodyDiv w:val="1"/>
      <w:marLeft w:val="0"/>
      <w:marRight w:val="0"/>
      <w:marTop w:val="0"/>
      <w:marBottom w:val="0"/>
      <w:divBdr>
        <w:top w:val="none" w:sz="0" w:space="0" w:color="auto"/>
        <w:left w:val="none" w:sz="0" w:space="0" w:color="auto"/>
        <w:bottom w:val="none" w:sz="0" w:space="0" w:color="auto"/>
        <w:right w:val="none" w:sz="0" w:space="0" w:color="auto"/>
      </w:divBdr>
    </w:div>
    <w:div w:id="1726374972">
      <w:bodyDiv w:val="1"/>
      <w:marLeft w:val="0"/>
      <w:marRight w:val="0"/>
      <w:marTop w:val="0"/>
      <w:marBottom w:val="0"/>
      <w:divBdr>
        <w:top w:val="none" w:sz="0" w:space="0" w:color="auto"/>
        <w:left w:val="none" w:sz="0" w:space="0" w:color="auto"/>
        <w:bottom w:val="none" w:sz="0" w:space="0" w:color="auto"/>
        <w:right w:val="none" w:sz="0" w:space="0" w:color="auto"/>
      </w:divBdr>
    </w:div>
    <w:div w:id="1729844992">
      <w:bodyDiv w:val="1"/>
      <w:marLeft w:val="0"/>
      <w:marRight w:val="0"/>
      <w:marTop w:val="0"/>
      <w:marBottom w:val="0"/>
      <w:divBdr>
        <w:top w:val="none" w:sz="0" w:space="0" w:color="auto"/>
        <w:left w:val="none" w:sz="0" w:space="0" w:color="auto"/>
        <w:bottom w:val="none" w:sz="0" w:space="0" w:color="auto"/>
        <w:right w:val="none" w:sz="0" w:space="0" w:color="auto"/>
      </w:divBdr>
    </w:div>
    <w:div w:id="1869641418">
      <w:bodyDiv w:val="1"/>
      <w:marLeft w:val="0"/>
      <w:marRight w:val="0"/>
      <w:marTop w:val="0"/>
      <w:marBottom w:val="0"/>
      <w:divBdr>
        <w:top w:val="none" w:sz="0" w:space="0" w:color="auto"/>
        <w:left w:val="none" w:sz="0" w:space="0" w:color="auto"/>
        <w:bottom w:val="none" w:sz="0" w:space="0" w:color="auto"/>
        <w:right w:val="none" w:sz="0" w:space="0" w:color="auto"/>
      </w:divBdr>
    </w:div>
    <w:div w:id="1894273276">
      <w:bodyDiv w:val="1"/>
      <w:marLeft w:val="0"/>
      <w:marRight w:val="0"/>
      <w:marTop w:val="0"/>
      <w:marBottom w:val="0"/>
      <w:divBdr>
        <w:top w:val="none" w:sz="0" w:space="0" w:color="auto"/>
        <w:left w:val="none" w:sz="0" w:space="0" w:color="auto"/>
        <w:bottom w:val="none" w:sz="0" w:space="0" w:color="auto"/>
        <w:right w:val="none" w:sz="0" w:space="0" w:color="auto"/>
      </w:divBdr>
    </w:div>
    <w:div w:id="2008092836">
      <w:bodyDiv w:val="1"/>
      <w:marLeft w:val="0"/>
      <w:marRight w:val="0"/>
      <w:marTop w:val="0"/>
      <w:marBottom w:val="0"/>
      <w:divBdr>
        <w:top w:val="none" w:sz="0" w:space="0" w:color="auto"/>
        <w:left w:val="none" w:sz="0" w:space="0" w:color="auto"/>
        <w:bottom w:val="none" w:sz="0" w:space="0" w:color="auto"/>
        <w:right w:val="none" w:sz="0" w:space="0" w:color="auto"/>
      </w:divBdr>
    </w:div>
    <w:div w:id="2073768614">
      <w:bodyDiv w:val="1"/>
      <w:marLeft w:val="0"/>
      <w:marRight w:val="0"/>
      <w:marTop w:val="0"/>
      <w:marBottom w:val="0"/>
      <w:divBdr>
        <w:top w:val="none" w:sz="0" w:space="0" w:color="auto"/>
        <w:left w:val="none" w:sz="0" w:space="0" w:color="auto"/>
        <w:bottom w:val="none" w:sz="0" w:space="0" w:color="auto"/>
        <w:right w:val="none" w:sz="0" w:space="0" w:color="auto"/>
      </w:divBdr>
    </w:div>
    <w:div w:id="209651237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ecb.europa.eu/stats/ecb_surveys/survey_of_professional_forecasters/html/ecb.spf2022q1~082bc1deaa.en.html" TargetMode="External"/><Relationship Id="rId2" Type="http://schemas.openxmlformats.org/officeDocument/2006/relationships/hyperlink" Target="https://www.ecb.europa.eu/stats/ecb_surveys/survey_of_professional_forecasters/html/ecb.spf2022q1~082bc1deaa.en.html" TargetMode="External"/><Relationship Id="rId1" Type="http://schemas.openxmlformats.org/officeDocument/2006/relationships/hyperlink" Target="https://economy-finance.ec.europa.eu/publications/2024-ageing-report-underlying-assumptions-and-projection-methodologi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2f29e7-6632-4cfe-826d-d0aa7d34b0a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0963436b-35f1-4197-85e1-d8d1686f5aa4" xsi:nil="true"/>
    <ForcontributionsbyCLIMAunits xmlns="122f29e7-6632-4cfe-826d-d0aa7d34b0a3">
      <UserInfo>
        <DisplayName/>
        <AccountId xsi:nil="true"/>
        <AccountType/>
      </UserInfo>
    </ForcontributionsbyCLIMAunits>
    <SharedWithUsers xmlns="0963436b-35f1-4197-85e1-d8d1686f5aa4">
      <UserInfo>
        <DisplayName>FERIOLI Francesco (ENER)</DisplayName>
        <AccountId>82</AccountId>
        <AccountType/>
      </UserInfo>
      <UserInfo>
        <DisplayName>VON METTENHEIM Manuel (ENER)</DisplayName>
        <AccountId>205</AccountId>
        <AccountType/>
      </UserInfo>
      <UserInfo>
        <DisplayName>SERRE Clement (ENER)</DisplayName>
        <AccountId>136</AccountId>
        <AccountType/>
      </UserInfo>
      <UserInfo>
        <DisplayName>SAVEYN Bert (ENER)</DisplayName>
        <AccountId>130</AccountId>
        <AccountType/>
      </UserInfo>
      <UserInfo>
        <DisplayName>ZUCKER Andreas (ENER)</DisplayName>
        <AccountId>129</AccountId>
        <AccountType/>
      </UserInfo>
      <UserInfo>
        <DisplayName>LAZAROU Stavros (MOVE)</DisplayName>
        <AccountId>726</AccountId>
        <AccountType/>
      </UserInfo>
      <UserInfo>
        <DisplayName>MOHORA Maria Cristina (MOVE)</DisplayName>
        <AccountId>128</AccountId>
        <AccountType/>
      </UserInfo>
      <UserInfo>
        <DisplayName>KOOLEN Derck (ENER)</DisplayName>
        <AccountId>395</AccountId>
        <AccountType/>
      </UserInfo>
      <UserInfo>
        <DisplayName>SLINGENBERG Yvon (CLIMA)</DisplayName>
        <AccountId>59</AccountId>
        <AccountType/>
      </UserInfo>
      <UserInfo>
        <DisplayName>HANOUNE Cecile (CLIMA)</DisplayName>
        <AccountId>107</AccountId>
        <AccountType/>
      </UserInfo>
      <UserInfo>
        <DisplayName>NATCHEVA Tsvetelina (CLIMA)</DisplayName>
        <AccountId>109</AccountId>
        <AccountType/>
      </UserInfo>
      <UserInfo>
        <DisplayName>SANTACROCE Stefano (CLIMA)</DisplayName>
        <AccountId>22</AccountId>
        <AccountType/>
      </UserInfo>
      <UserInfo>
        <DisplayName>MITCHELL Robyn (CLIMA)</DisplayName>
        <AccountId>736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E1987089B2DDC4EA3C5EEDA50AEC7B2" ma:contentTypeVersion="18" ma:contentTypeDescription="Create a new document." ma:contentTypeScope="" ma:versionID="515fdc0f9a7d11954d94cb1103835bdf">
  <xsd:schema xmlns:xsd="http://www.w3.org/2001/XMLSchema" xmlns:xs="http://www.w3.org/2001/XMLSchema" xmlns:p="http://schemas.microsoft.com/office/2006/metadata/properties" xmlns:ns2="122f29e7-6632-4cfe-826d-d0aa7d34b0a3" xmlns:ns3="0963436b-35f1-4197-85e1-d8d1686f5aa4" targetNamespace="http://schemas.microsoft.com/office/2006/metadata/properties" ma:root="true" ma:fieldsID="693a45ec431d16f66d3b0ff7a4b65068" ns2:_="" ns3:_="">
    <xsd:import namespace="122f29e7-6632-4cfe-826d-d0aa7d34b0a3"/>
    <xsd:import namespace="0963436b-35f1-4197-85e1-d8d1686f5a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ForcontributionsbyCLIMAunit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f29e7-6632-4cfe-826d-d0aa7d34b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ForcontributionsbyCLIMAunits" ma:index="21" nillable="true" ma:displayName="For contributions by CLIMA units" ma:format="Dropdown" ma:list="UserInfo" ma:SharePointGroup="0" ma:internalName="ForcontributionsbyCLIMAunit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63436b-35f1-4197-85e1-d8d1686f5a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865d83c-5963-4a75-819a-ef9fffe75ef7}" ma:internalName="TaxCatchAll" ma:showField="CatchAllData" ma:web="0963436b-35f1-4197-85e1-d8d1686f5a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0F2C8A-95C4-458D-BE7E-45A08E9CF244}">
  <ds:schemaRefs>
    <ds:schemaRef ds:uri="http://schemas.microsoft.com/office/2006/metadata/properties"/>
    <ds:schemaRef ds:uri="http://schemas.microsoft.com/office/infopath/2007/PartnerControls"/>
    <ds:schemaRef ds:uri="122f29e7-6632-4cfe-826d-d0aa7d34b0a3"/>
    <ds:schemaRef ds:uri="0963436b-35f1-4197-85e1-d8d1686f5aa4"/>
  </ds:schemaRefs>
</ds:datastoreItem>
</file>

<file path=customXml/itemProps2.xml><?xml version="1.0" encoding="utf-8"?>
<ds:datastoreItem xmlns:ds="http://schemas.openxmlformats.org/officeDocument/2006/customXml" ds:itemID="{5378AF39-F8B8-47D3-B6E2-A11503A9331C}">
  <ds:schemaRefs>
    <ds:schemaRef ds:uri="http://schemas.openxmlformats.org/officeDocument/2006/bibliography"/>
  </ds:schemaRefs>
</ds:datastoreItem>
</file>

<file path=customXml/itemProps3.xml><?xml version="1.0" encoding="utf-8"?>
<ds:datastoreItem xmlns:ds="http://schemas.openxmlformats.org/officeDocument/2006/customXml" ds:itemID="{8348D7F7-A746-49AA-A93C-B948F6F85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f29e7-6632-4cfe-826d-d0aa7d34b0a3"/>
    <ds:schemaRef ds:uri="0963436b-35f1-4197-85e1-d8d1686f5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94AF17-FF6B-42C5-8597-B4013C0E3F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1943</Words>
  <Characters>9933</Characters>
  <Application>Microsoft Office Word</Application>
  <DocSecurity>0</DocSecurity>
  <Lines>397</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dcterms:created xsi:type="dcterms:W3CDTF">2024-02-03T00:45:00Z</dcterms:created>
  <dcterms:modified xsi:type="dcterms:W3CDTF">2024-03-20T12:10:00Z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2022-05-23T06:08:55Z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a7d0bbc8-5607-446d-9867-8d5850f046d3</vt:lpwstr>
  </property>
  <property fmtid="{D5CDD505-2E9C-101B-9397-08002B2CF9AE}" pid="8" name="MSIP_Label_6bd9ddd1-4d20-43f6-abfa-fc3c07406f94_ContentBits">
    <vt:lpwstr>0</vt:lpwstr>
  </property>
  <property fmtid="{D5CDD505-2E9C-101B-9397-08002B2CF9AE}" pid="9" name="ContentTypeId">
    <vt:lpwstr>0x010100AE1987089B2DDC4EA3C5EEDA50AEC7B2</vt:lpwstr>
  </property>
  <property fmtid="{D5CDD505-2E9C-101B-9397-08002B2CF9AE}" pid="10" name="MediaServiceImageTags">
    <vt:lpwstr/>
  </property>
</Properties>
</file>